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74F60" w14:textId="77777777" w:rsidR="007C47B5" w:rsidRDefault="007C47B5" w:rsidP="007566E0">
      <w:pPr>
        <w:rPr>
          <w:sz w:val="28"/>
          <w:szCs w:val="28"/>
          <w:u w:val="single"/>
        </w:rPr>
      </w:pPr>
      <w:r>
        <w:rPr>
          <w:noProof/>
          <w:sz w:val="28"/>
          <w:szCs w:val="28"/>
          <w:u w:val="single"/>
          <w:lang w:eastAsia="en-NZ"/>
        </w:rPr>
        <w:t xml:space="preserve">                             </w:t>
      </w:r>
      <w:r>
        <w:rPr>
          <w:noProof/>
          <w:sz w:val="28"/>
          <w:szCs w:val="28"/>
          <w:u w:val="single"/>
          <w:lang w:eastAsia="en-NZ"/>
        </w:rPr>
        <w:drawing>
          <wp:inline distT="0" distB="0" distL="0" distR="0" wp14:anchorId="4DAE6CB8" wp14:editId="378DB3EC">
            <wp:extent cx="3264408" cy="9418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64408" cy="941832"/>
                    </a:xfrm>
                    <a:prstGeom prst="rect">
                      <a:avLst/>
                    </a:prstGeom>
                  </pic:spPr>
                </pic:pic>
              </a:graphicData>
            </a:graphic>
          </wp:inline>
        </w:drawing>
      </w:r>
      <w:r>
        <w:rPr>
          <w:noProof/>
          <w:sz w:val="28"/>
          <w:szCs w:val="28"/>
          <w:u w:val="single"/>
          <w:lang w:eastAsia="en-NZ"/>
        </w:rPr>
        <w:t xml:space="preserve">                              </w:t>
      </w:r>
    </w:p>
    <w:p w14:paraId="52BBAE17" w14:textId="77777777" w:rsidR="007566E0" w:rsidRPr="00E648DD" w:rsidRDefault="00E648DD" w:rsidP="007566E0">
      <w:pPr>
        <w:rPr>
          <w:sz w:val="28"/>
          <w:szCs w:val="28"/>
          <w:u w:val="single"/>
        </w:rPr>
      </w:pPr>
      <w:r w:rsidRPr="00E648DD">
        <w:rPr>
          <w:sz w:val="28"/>
          <w:szCs w:val="28"/>
          <w:u w:val="single"/>
        </w:rPr>
        <w:t>Background notes for media</w:t>
      </w:r>
    </w:p>
    <w:p w14:paraId="7456C8BB" w14:textId="77777777" w:rsidR="00433498" w:rsidRDefault="007566E0" w:rsidP="007566E0">
      <w:r w:rsidRPr="00292894">
        <w:t>NIWA has</w:t>
      </w:r>
      <w:r>
        <w:t xml:space="preserve"> contributed two reports to the Parliamentary Commission</w:t>
      </w:r>
      <w:r w:rsidR="00433498">
        <w:t>er for the Environment’s report, Preparing New Zealand for Rising Seas, Certainty and Uncertainty.</w:t>
      </w:r>
    </w:p>
    <w:p w14:paraId="346F6EF0" w14:textId="77777777" w:rsidR="00C21379" w:rsidRDefault="00C21379" w:rsidP="00C21379">
      <w:r w:rsidRPr="00E648DD">
        <w:rPr>
          <w:b/>
        </w:rPr>
        <w:t xml:space="preserve">Report </w:t>
      </w:r>
      <w:r>
        <w:rPr>
          <w:b/>
        </w:rPr>
        <w:t>1</w:t>
      </w:r>
      <w:r>
        <w:t xml:space="preserve"> covers the national and regional risk exposure in low-lying coastal areas – including area, population, buildings and infrastructure.</w:t>
      </w:r>
    </w:p>
    <w:p w14:paraId="31FFB964" w14:textId="7A97AF6A" w:rsidR="007566E0" w:rsidRDefault="007566E0" w:rsidP="007566E0">
      <w:r w:rsidRPr="00E648DD">
        <w:rPr>
          <w:b/>
        </w:rPr>
        <w:t xml:space="preserve">Report </w:t>
      </w:r>
      <w:r w:rsidR="00C21379">
        <w:rPr>
          <w:b/>
        </w:rPr>
        <w:t>2</w:t>
      </w:r>
      <w:r>
        <w:t xml:space="preserve"> covers the effect of sea-level rise on the frequency of extreme sea levels in New Zealand.</w:t>
      </w:r>
    </w:p>
    <w:p w14:paraId="28C1B445" w14:textId="77777777" w:rsidR="007566E0" w:rsidRDefault="007566E0" w:rsidP="007566E0">
      <w:r>
        <w:t xml:space="preserve">Summaries of the reports </w:t>
      </w:r>
      <w:r w:rsidR="007C47B5">
        <w:t xml:space="preserve">and the methods used </w:t>
      </w:r>
      <w:r>
        <w:t>follow.</w:t>
      </w:r>
    </w:p>
    <w:p w14:paraId="2A2D91D6" w14:textId="77777777" w:rsidR="007566E0" w:rsidRDefault="007566E0" w:rsidP="007566E0"/>
    <w:p w14:paraId="31407F42" w14:textId="77777777" w:rsidR="007566E0" w:rsidRDefault="007566E0" w:rsidP="007566E0">
      <w:pPr>
        <w:pStyle w:val="ListParagraph"/>
        <w:ind w:left="567"/>
        <w:rPr>
          <w:b/>
          <w:sz w:val="28"/>
          <w:szCs w:val="28"/>
        </w:rPr>
      </w:pPr>
      <w:r w:rsidRPr="00E648DD">
        <w:rPr>
          <w:b/>
          <w:sz w:val="28"/>
          <w:szCs w:val="28"/>
        </w:rPr>
        <w:t xml:space="preserve">Report 1: National and regional risk exposure in low-lying coastal areas </w:t>
      </w:r>
    </w:p>
    <w:p w14:paraId="125EC984" w14:textId="77777777" w:rsidR="00E648DD" w:rsidRPr="00E648DD" w:rsidRDefault="00E648DD" w:rsidP="007566E0">
      <w:pPr>
        <w:pStyle w:val="ListParagraph"/>
        <w:ind w:left="567"/>
        <w:rPr>
          <w:b/>
          <w:sz w:val="28"/>
          <w:szCs w:val="28"/>
        </w:rPr>
      </w:pPr>
    </w:p>
    <w:p w14:paraId="59658BD1" w14:textId="77777777" w:rsidR="007566E0" w:rsidRPr="007C47B5" w:rsidRDefault="007C47B5" w:rsidP="007566E0">
      <w:pPr>
        <w:rPr>
          <w:b/>
        </w:rPr>
      </w:pPr>
      <w:r w:rsidRPr="007C47B5">
        <w:rPr>
          <w:b/>
        </w:rPr>
        <w:t>Points to note:</w:t>
      </w:r>
    </w:p>
    <w:p w14:paraId="27B1B9FA" w14:textId="77777777" w:rsidR="007566E0" w:rsidRDefault="007566E0" w:rsidP="007566E0">
      <w:pPr>
        <w:pStyle w:val="ListParagraph"/>
        <w:numPr>
          <w:ilvl w:val="0"/>
          <w:numId w:val="1"/>
        </w:numPr>
      </w:pPr>
      <w:r>
        <w:t>This report is the first consistent attempt to quantify the risk exposure in low-lying coastal areas.</w:t>
      </w:r>
    </w:p>
    <w:p w14:paraId="6838789F" w14:textId="77777777" w:rsidR="007C47B5" w:rsidRDefault="007C47B5" w:rsidP="007C47B5">
      <w:pPr>
        <w:pStyle w:val="ListParagraph"/>
      </w:pPr>
    </w:p>
    <w:p w14:paraId="59784C91" w14:textId="77777777" w:rsidR="007566E0" w:rsidRDefault="007566E0" w:rsidP="007566E0">
      <w:pPr>
        <w:pStyle w:val="ListParagraph"/>
        <w:numPr>
          <w:ilvl w:val="0"/>
          <w:numId w:val="1"/>
        </w:numPr>
      </w:pPr>
      <w:r>
        <w:t>It enables comparisons between different regions and urban areas to help prioritise national and regional plans to adapt to more frequent coastal hazard impacts.</w:t>
      </w:r>
    </w:p>
    <w:p w14:paraId="771E4A96" w14:textId="77777777" w:rsidR="007C47B5" w:rsidRDefault="007C47B5" w:rsidP="007C47B5">
      <w:pPr>
        <w:pStyle w:val="ListParagraph"/>
      </w:pPr>
    </w:p>
    <w:p w14:paraId="60205C9E" w14:textId="77777777" w:rsidR="00E648DD" w:rsidRDefault="007566E0" w:rsidP="007566E0">
      <w:pPr>
        <w:pStyle w:val="ListParagraph"/>
        <w:numPr>
          <w:ilvl w:val="0"/>
          <w:numId w:val="1"/>
        </w:numPr>
      </w:pPr>
      <w:r>
        <w:t>The analysis is a stocktake of what’s at risk</w:t>
      </w:r>
      <w:r w:rsidR="00E648DD">
        <w:t xml:space="preserve"> within </w:t>
      </w:r>
      <w:r>
        <w:t xml:space="preserve">low-lying coastal </w:t>
      </w:r>
      <w:r w:rsidR="00E648DD">
        <w:t>margins, at 0.25m, 0.5m, 1m, 1.5, 2m, 2.5m and 3m above the average spring-tide level.</w:t>
      </w:r>
    </w:p>
    <w:p w14:paraId="548E0A9D" w14:textId="77777777" w:rsidR="007C47B5" w:rsidRDefault="007C47B5" w:rsidP="007C47B5">
      <w:pPr>
        <w:pStyle w:val="ListParagraph"/>
      </w:pPr>
    </w:p>
    <w:p w14:paraId="683A147B" w14:textId="387E6B64" w:rsidR="007C47B5" w:rsidRDefault="007C47B5" w:rsidP="005C1D65">
      <w:pPr>
        <w:pStyle w:val="ListParagraph"/>
        <w:numPr>
          <w:ilvl w:val="0"/>
          <w:numId w:val="1"/>
        </w:numPr>
      </w:pPr>
      <w:r>
        <w:t xml:space="preserve">Using </w:t>
      </w:r>
      <w:r w:rsidR="00C21379">
        <w:t>these narrow bands</w:t>
      </w:r>
      <w:r w:rsidR="00E648DD">
        <w:t xml:space="preserve"> in land elevation requires very accurate topographical data which is not currently available for the whole of New Zealand.</w:t>
      </w:r>
      <w:r>
        <w:t xml:space="preserve"> </w:t>
      </w:r>
      <w:r w:rsidR="00C51062" w:rsidRPr="00C51062">
        <w:t>While this study used substantial areas of high-resolution elevation coverage across coastal areas mainly from LiDAR</w:t>
      </w:r>
      <w:r w:rsidR="00C51062" w:rsidRPr="00C51062">
        <w:rPr>
          <w:vertAlign w:val="superscript"/>
        </w:rPr>
        <w:footnoteReference w:id="1"/>
      </w:r>
      <w:r w:rsidR="00C51062" w:rsidRPr="00C51062">
        <w:t xml:space="preserve">, a higher-accuracy national coastal land-elevation dataset based on consistent LiDAR observations is </w:t>
      </w:r>
      <w:r w:rsidR="00C51062">
        <w:t>a necessity for a complete national inventory</w:t>
      </w:r>
    </w:p>
    <w:p w14:paraId="17309EA8" w14:textId="77777777" w:rsidR="007C47B5" w:rsidRDefault="007C47B5" w:rsidP="007C47B5">
      <w:pPr>
        <w:pStyle w:val="ListParagraph"/>
      </w:pPr>
    </w:p>
    <w:p w14:paraId="3F43630E" w14:textId="0898794C" w:rsidR="00E648DD" w:rsidRDefault="007C47B5" w:rsidP="00FC16D6">
      <w:pPr>
        <w:pStyle w:val="ListParagraph"/>
        <w:numPr>
          <w:ilvl w:val="0"/>
          <w:numId w:val="1"/>
        </w:numPr>
      </w:pPr>
      <w:r>
        <w:t xml:space="preserve">Risk </w:t>
      </w:r>
      <w:r w:rsidR="00E648DD">
        <w:t>exposure for this study is expressed as counts of normally-resident population, areas of land parcels, and numbers o</w:t>
      </w:r>
      <w:r w:rsidR="00C21379">
        <w:t>r</w:t>
      </w:r>
      <w:r w:rsidR="00E648DD">
        <w:t xml:space="preserve"> lengths of built assets (</w:t>
      </w:r>
      <w:proofErr w:type="spellStart"/>
      <w:r w:rsidR="00E648DD">
        <w:t>eg</w:t>
      </w:r>
      <w:proofErr w:type="spellEnd"/>
      <w:r w:rsidR="00E648DD">
        <w:t xml:space="preserve"> buildings, roads and railways, coastal structures, and airports) within various elevation bands up to 3 metres above the </w:t>
      </w:r>
      <w:r w:rsidR="00C21379">
        <w:t>average spring-tide level</w:t>
      </w:r>
      <w:r w:rsidR="00E648DD">
        <w:t>. It also includes replacement costs for buildings</w:t>
      </w:r>
      <w:r w:rsidR="00C21379">
        <w:t xml:space="preserve"> based on footprint area and number of storeys</w:t>
      </w:r>
      <w:r w:rsidR="00E648DD">
        <w:t>.</w:t>
      </w:r>
    </w:p>
    <w:p w14:paraId="173BE9A1" w14:textId="77777777" w:rsidR="007C47B5" w:rsidRDefault="007C47B5" w:rsidP="007C47B5">
      <w:pPr>
        <w:pStyle w:val="ListParagraph"/>
      </w:pPr>
    </w:p>
    <w:p w14:paraId="707E7B49" w14:textId="77777777" w:rsidR="007C47B5" w:rsidRDefault="007C47B5" w:rsidP="007C47B5">
      <w:pPr>
        <w:pStyle w:val="ListParagraph"/>
      </w:pPr>
    </w:p>
    <w:p w14:paraId="3F4C8965" w14:textId="77777777" w:rsidR="007C47B5" w:rsidRDefault="007C47B5" w:rsidP="008F4E31">
      <w:pPr>
        <w:pStyle w:val="ListParagraph"/>
        <w:numPr>
          <w:ilvl w:val="0"/>
          <w:numId w:val="1"/>
        </w:numPr>
      </w:pPr>
      <w:r>
        <w:lastRenderedPageBreak/>
        <w:t>This</w:t>
      </w:r>
      <w:r w:rsidR="00E648DD">
        <w:t xml:space="preserve"> does not necessarily mean that these people and assets will be directly affected but it does mean they are potentially exposed to coastal hazards and</w:t>
      </w:r>
      <w:r w:rsidR="00C21379">
        <w:t xml:space="preserve"> ongoing</w:t>
      </w:r>
      <w:r w:rsidR="00E648DD">
        <w:t xml:space="preserve"> sea-level rise.</w:t>
      </w:r>
      <w:r w:rsidR="00C21379">
        <w:t xml:space="preserve"> Lower elevations </w:t>
      </w:r>
      <w:proofErr w:type="spellStart"/>
      <w:r w:rsidR="00C21379">
        <w:t>eg</w:t>
      </w:r>
      <w:proofErr w:type="spellEnd"/>
      <w:r w:rsidR="00C21379">
        <w:t xml:space="preserve"> 0 to 1.5 m have the highest exposure.</w:t>
      </w:r>
    </w:p>
    <w:p w14:paraId="763FB47D" w14:textId="77777777" w:rsidR="007C47B5" w:rsidRDefault="007C47B5" w:rsidP="007C47B5">
      <w:pPr>
        <w:pStyle w:val="ListParagraph"/>
      </w:pPr>
    </w:p>
    <w:p w14:paraId="04FC2696" w14:textId="77777777" w:rsidR="00E648DD" w:rsidRDefault="00E648DD" w:rsidP="008F4E31">
      <w:pPr>
        <w:pStyle w:val="ListParagraph"/>
        <w:numPr>
          <w:ilvl w:val="0"/>
          <w:numId w:val="1"/>
        </w:numPr>
      </w:pPr>
      <w:r>
        <w:t xml:space="preserve"> More in-depth regional or local studies are required to demonstrate the likely risk for specific scenarios and timeframes.</w:t>
      </w:r>
    </w:p>
    <w:p w14:paraId="5860EFAE" w14:textId="77777777" w:rsidR="007566E0" w:rsidRPr="00E648DD" w:rsidRDefault="007566E0" w:rsidP="007566E0">
      <w:pPr>
        <w:pStyle w:val="ListParagraph"/>
        <w:rPr>
          <w:sz w:val="28"/>
          <w:szCs w:val="28"/>
        </w:rPr>
      </w:pPr>
    </w:p>
    <w:p w14:paraId="19D7BFFA" w14:textId="77777777" w:rsidR="00A15690" w:rsidRDefault="00A15690" w:rsidP="00E53E95">
      <w:pPr>
        <w:pStyle w:val="ListParagraph"/>
        <w:rPr>
          <w:sz w:val="28"/>
          <w:szCs w:val="28"/>
          <w:u w:val="single"/>
        </w:rPr>
      </w:pPr>
    </w:p>
    <w:p w14:paraId="04ECA487" w14:textId="77777777" w:rsidR="00E53E95" w:rsidRPr="00A15690" w:rsidRDefault="00E53E95" w:rsidP="00A15690">
      <w:pPr>
        <w:rPr>
          <w:sz w:val="28"/>
          <w:szCs w:val="28"/>
          <w:u w:val="single"/>
        </w:rPr>
      </w:pPr>
      <w:r w:rsidRPr="00A15690">
        <w:rPr>
          <w:sz w:val="28"/>
          <w:szCs w:val="28"/>
          <w:u w:val="single"/>
        </w:rPr>
        <w:t>Regions and urban areas with highest coastal population</w:t>
      </w:r>
    </w:p>
    <w:p w14:paraId="05708632" w14:textId="77777777" w:rsidR="00E53E95" w:rsidRDefault="00E53E95" w:rsidP="00E53E95">
      <w:pPr>
        <w:pStyle w:val="ListParagraph"/>
      </w:pPr>
    </w:p>
    <w:p w14:paraId="48D8D3A7" w14:textId="77777777" w:rsidR="00E53E95" w:rsidRDefault="00E53E95" w:rsidP="007C47B5">
      <w:pPr>
        <w:pStyle w:val="ListParagraph"/>
        <w:numPr>
          <w:ilvl w:val="0"/>
          <w:numId w:val="1"/>
        </w:numPr>
      </w:pPr>
      <w:r>
        <w:t>Of the regions with LiDAR datasets available, two-thirds of people living in 0–1.5 m coastal elevation zones are in Canterbury (~23%), Hawke’s Bay (~19%), Bay of Plenty (~13%) or Auckland (~12%). These four regions account for about 68% of people living in the wider 0–3 m elevation zone in the 2013 Census.</w:t>
      </w:r>
    </w:p>
    <w:p w14:paraId="413C7CF1" w14:textId="77777777" w:rsidR="007C47B5" w:rsidRDefault="007C47B5" w:rsidP="007C47B5">
      <w:pPr>
        <w:pStyle w:val="ListParagraph"/>
      </w:pPr>
    </w:p>
    <w:p w14:paraId="48920A22" w14:textId="77777777" w:rsidR="00E53E95" w:rsidRDefault="007C47B5" w:rsidP="00A24134">
      <w:pPr>
        <w:pStyle w:val="ListParagraph"/>
        <w:numPr>
          <w:ilvl w:val="0"/>
          <w:numId w:val="1"/>
        </w:numPr>
      </w:pPr>
      <w:r>
        <w:t>The</w:t>
      </w:r>
      <w:r w:rsidR="00E53E95">
        <w:t xml:space="preserve"> main concentration of populations in these low-lying elevation zones are in urban areas or settlements. For example, Christchurch makes up 96–97% of the Canterbury population in the 0–3 m coastal elevation zones, while Dunedin makes up 87–89% of the Otago total.</w:t>
      </w:r>
    </w:p>
    <w:p w14:paraId="259B995D" w14:textId="77777777" w:rsidR="007C47B5" w:rsidRDefault="007C47B5" w:rsidP="007C47B5">
      <w:pPr>
        <w:pStyle w:val="ListParagraph"/>
      </w:pPr>
    </w:p>
    <w:p w14:paraId="5D57448C" w14:textId="77777777" w:rsidR="00E53E95" w:rsidRDefault="007C47B5" w:rsidP="000F0DFA">
      <w:pPr>
        <w:pStyle w:val="ListParagraph"/>
        <w:numPr>
          <w:ilvl w:val="0"/>
          <w:numId w:val="3"/>
        </w:numPr>
      </w:pPr>
      <w:r>
        <w:t xml:space="preserve">In the </w:t>
      </w:r>
      <w:r w:rsidR="00E53E95">
        <w:t xml:space="preserve">Wellington region, Lower Hutt has a substantially higher population in the 0–3 m elevation zone (47% of the regional total) than Wellington City (31%), followed by </w:t>
      </w:r>
      <w:proofErr w:type="spellStart"/>
      <w:r w:rsidR="00E53E95">
        <w:t>Kāpiti</w:t>
      </w:r>
      <w:proofErr w:type="spellEnd"/>
      <w:r w:rsidR="00E53E95">
        <w:t xml:space="preserve"> Coast (14%). Likewise in Hawke’s Bay, the population count is dominated by Napier City (~90% of the regional total) compared with a much lower numbers in Hastings.</w:t>
      </w:r>
    </w:p>
    <w:p w14:paraId="77ED9ECD" w14:textId="77777777" w:rsidR="00E53E95" w:rsidRDefault="00E53E95" w:rsidP="00E53E95">
      <w:pPr>
        <w:pStyle w:val="ListParagraph"/>
      </w:pPr>
    </w:p>
    <w:p w14:paraId="71F2068C" w14:textId="77777777" w:rsidR="00E53E95" w:rsidRDefault="00E53E95" w:rsidP="00E53E95">
      <w:pPr>
        <w:pStyle w:val="ListParagraph"/>
      </w:pPr>
    </w:p>
    <w:p w14:paraId="6CF20E3C" w14:textId="77777777" w:rsidR="00E53E95" w:rsidRPr="00E648DD" w:rsidRDefault="00E53E95" w:rsidP="00E53E95">
      <w:pPr>
        <w:rPr>
          <w:sz w:val="28"/>
          <w:szCs w:val="28"/>
          <w:u w:val="single"/>
        </w:rPr>
      </w:pPr>
      <w:r w:rsidRPr="00E648DD">
        <w:rPr>
          <w:sz w:val="28"/>
          <w:szCs w:val="28"/>
          <w:u w:val="single"/>
        </w:rPr>
        <w:t>Regions and urban areas with highest building exposure</w:t>
      </w:r>
    </w:p>
    <w:p w14:paraId="1D190ADC" w14:textId="55DE25E0" w:rsidR="00E53E95" w:rsidRDefault="00E53E95" w:rsidP="00E53E95">
      <w:pPr>
        <w:pStyle w:val="ListParagraph"/>
        <w:numPr>
          <w:ilvl w:val="0"/>
          <w:numId w:val="3"/>
        </w:numPr>
      </w:pPr>
      <w:r>
        <w:t xml:space="preserve">Canterbury and Hawke’s Bay, followed by Waikato, have the most buildings of all types in the 0–1.5 m elevation zone, but the Bay of Plenty and Wellington (including Lower Hutt) </w:t>
      </w:r>
      <w:r w:rsidR="00E53BAA">
        <w:t xml:space="preserve">join this group with </w:t>
      </w:r>
      <w:r>
        <w:t>the highest building counts across the</w:t>
      </w:r>
      <w:r w:rsidR="00C21379">
        <w:t xml:space="preserve"> wider</w:t>
      </w:r>
      <w:r>
        <w:t xml:space="preserve"> 0–3 m elevation zone.</w:t>
      </w:r>
    </w:p>
    <w:p w14:paraId="64C26586" w14:textId="77777777" w:rsidR="00E53E95" w:rsidRDefault="00E53E95" w:rsidP="00E53E95">
      <w:pPr>
        <w:pStyle w:val="ListParagraph"/>
      </w:pPr>
    </w:p>
    <w:p w14:paraId="10BDAA16" w14:textId="77777777" w:rsidR="00E53E95" w:rsidRDefault="00E53E95" w:rsidP="00E53E95">
      <w:pPr>
        <w:pStyle w:val="ListParagraph"/>
        <w:numPr>
          <w:ilvl w:val="0"/>
          <w:numId w:val="3"/>
        </w:numPr>
      </w:pPr>
      <w:r>
        <w:t xml:space="preserve">Canterbury, Auckland, Wellington and Hawke’s Bay dominate the regional building replacement cost national totals, with Auckland ($11B), Wellington region ($9.8B) and Canterbury ($9.1B – excluding the Christchurch Red Zone) returning the highest regional </w:t>
      </w:r>
      <w:r w:rsidR="00C21379">
        <w:t xml:space="preserve">building </w:t>
      </w:r>
      <w:r>
        <w:t>replacement cost totals for the 0–3 m elevation zone.</w:t>
      </w:r>
    </w:p>
    <w:p w14:paraId="5732D0C1" w14:textId="77777777" w:rsidR="00A15690" w:rsidRDefault="00A15690" w:rsidP="00E53E95">
      <w:pPr>
        <w:pStyle w:val="BodyText"/>
        <w:rPr>
          <w:sz w:val="28"/>
          <w:szCs w:val="28"/>
          <w:u w:val="single"/>
        </w:rPr>
      </w:pPr>
    </w:p>
    <w:p w14:paraId="56286DC9" w14:textId="77777777" w:rsidR="00A15690" w:rsidRDefault="00A15690" w:rsidP="00E53E95">
      <w:pPr>
        <w:pStyle w:val="BodyText"/>
        <w:rPr>
          <w:sz w:val="28"/>
          <w:szCs w:val="28"/>
          <w:u w:val="single"/>
        </w:rPr>
      </w:pPr>
      <w:bookmarkStart w:id="0" w:name="_GoBack"/>
      <w:bookmarkEnd w:id="0"/>
    </w:p>
    <w:p w14:paraId="6808AC4E" w14:textId="77777777" w:rsidR="00A15690" w:rsidRDefault="00A15690" w:rsidP="00E53E95">
      <w:pPr>
        <w:pStyle w:val="BodyText"/>
        <w:rPr>
          <w:sz w:val="28"/>
          <w:szCs w:val="28"/>
          <w:u w:val="single"/>
        </w:rPr>
      </w:pPr>
    </w:p>
    <w:p w14:paraId="2FC728F1" w14:textId="77777777" w:rsidR="00A15690" w:rsidRDefault="00A15690" w:rsidP="00E53E95">
      <w:pPr>
        <w:pStyle w:val="BodyText"/>
        <w:rPr>
          <w:sz w:val="28"/>
          <w:szCs w:val="28"/>
          <w:u w:val="single"/>
        </w:rPr>
      </w:pPr>
    </w:p>
    <w:p w14:paraId="067A8204" w14:textId="77777777" w:rsidR="00A15690" w:rsidRDefault="00A15690" w:rsidP="00E53E95">
      <w:pPr>
        <w:pStyle w:val="BodyText"/>
        <w:rPr>
          <w:sz w:val="28"/>
          <w:szCs w:val="28"/>
          <w:u w:val="single"/>
        </w:rPr>
      </w:pPr>
    </w:p>
    <w:p w14:paraId="24DA8C7A" w14:textId="77777777" w:rsidR="00E53E95" w:rsidRPr="00E648DD" w:rsidRDefault="00E53E95" w:rsidP="00E53E95">
      <w:pPr>
        <w:pStyle w:val="BodyText"/>
        <w:rPr>
          <w:sz w:val="28"/>
          <w:szCs w:val="28"/>
        </w:rPr>
      </w:pPr>
      <w:r w:rsidRPr="00E648DD">
        <w:rPr>
          <w:sz w:val="28"/>
          <w:szCs w:val="28"/>
          <w:u w:val="single"/>
        </w:rPr>
        <w:t>Coastal risk exposure by elevation bands</w:t>
      </w:r>
    </w:p>
    <w:p w14:paraId="6F4BE08F" w14:textId="77777777" w:rsidR="00E53E95" w:rsidRDefault="00E53E95" w:rsidP="00E53E95">
      <w:pPr>
        <w:pStyle w:val="BodyText"/>
        <w:numPr>
          <w:ilvl w:val="0"/>
          <w:numId w:val="3"/>
        </w:numPr>
      </w:pPr>
      <w:r>
        <w:lastRenderedPageBreak/>
        <w:t>Based on results for buildings from the incremental elevation bands (0.25, 0.5, 1, 1.5, … 3 m) where LiDAR surveys were available, three different elevation profiles of coastal risk exposure were revealed:</w:t>
      </w:r>
    </w:p>
    <w:p w14:paraId="4CF2CFA6" w14:textId="5C71FAC6" w:rsidR="00E53E95" w:rsidRDefault="00E53E95" w:rsidP="00E53E95">
      <w:pPr>
        <w:pStyle w:val="BulletLevel1"/>
      </w:pPr>
      <w:r>
        <w:t>Highest proportion of risk exposure for a region in the lowest-lying elevation bands (</w:t>
      </w:r>
      <w:r w:rsidR="00C21379">
        <w:t xml:space="preserve">below </w:t>
      </w:r>
      <w:r>
        <w:t>0.5 m) is in Waikato and Otago.</w:t>
      </w:r>
    </w:p>
    <w:p w14:paraId="1A14FD55" w14:textId="77777777" w:rsidR="00E53E95" w:rsidRDefault="00E53E95" w:rsidP="00E53E95">
      <w:pPr>
        <w:pStyle w:val="BulletLevel1"/>
      </w:pPr>
      <w:r>
        <w:t>A rapid increase in risk exposure between 0.5–1 to 1.5–2m elevations (majority of regions).</w:t>
      </w:r>
    </w:p>
    <w:p w14:paraId="32475A2E" w14:textId="1BAE778A" w:rsidR="00E53E95" w:rsidRDefault="00E53E95" w:rsidP="00E53E95">
      <w:pPr>
        <w:pStyle w:val="BulletLevel1"/>
      </w:pPr>
      <w:r>
        <w:t>A steady increase in risk exposure up to the 3m upper</w:t>
      </w:r>
      <w:r w:rsidR="00C21379">
        <w:t>-</w:t>
      </w:r>
      <w:r>
        <w:t>limit</w:t>
      </w:r>
      <w:r w:rsidR="00C21379">
        <w:t xml:space="preserve"> elevation</w:t>
      </w:r>
      <w:r>
        <w:t xml:space="preserve"> assessed e.g., Auckland and especially Gisborne.</w:t>
      </w:r>
    </w:p>
    <w:p w14:paraId="765B684E" w14:textId="77777777" w:rsidR="00E53E95" w:rsidRDefault="00E53E95" w:rsidP="00E53E95">
      <w:r>
        <w:t xml:space="preserve">Focusing on urban areas, distributions of building numbers across the 0–3m elevation zone for areas with LiDAR datasets available, were compared with the counts for the lower-lying 0–1.5m elevation zone. </w:t>
      </w:r>
    </w:p>
    <w:p w14:paraId="2BBD711F" w14:textId="77777777" w:rsidR="00E53E95" w:rsidRDefault="00E53E95" w:rsidP="00E53E95">
      <w:r>
        <w:t xml:space="preserve">The highest numbers of all types of buildings identified for urban areas nationally are dominated by Christchurch – excluding the Red Zone (45,833 – up from 15,556 for 0–1.5 m elevation band), Napier (25,046 up from 14,207 for 0–1.5 m) and Lower Hutt (10,199 up from 4,635 for 0–1.5 m). These urban areas are followed by Dunedin (5,845 buildings) and </w:t>
      </w:r>
      <w:proofErr w:type="spellStart"/>
      <w:r>
        <w:t>Whakatane</w:t>
      </w:r>
      <w:proofErr w:type="spellEnd"/>
      <w:r>
        <w:t xml:space="preserve"> (5,580 buildings) for the 0–3 m zone.</w:t>
      </w:r>
    </w:p>
    <w:p w14:paraId="1DA9849C" w14:textId="77777777" w:rsidR="00E53E95" w:rsidRDefault="00E53E95" w:rsidP="00E53E95">
      <w:r>
        <w:t xml:space="preserve">The highest accumulated replacement costs (NZ$–2011) in urban areas for all buildings identified are dominated by those from Christchurch- excluding the Red Zone ($8.7B – up from $3.2B for 0–1.5 m elevation zone), Central Auckland Zone ($5.9B – up from $0.9B), Napier ($5.1B – up from $2.6B), Wellington ($5.0B – up from $2.2B) and Lower Hutt ($3.5B – up from $1.5B). </w:t>
      </w:r>
    </w:p>
    <w:p w14:paraId="0B51200E" w14:textId="77777777" w:rsidR="00E53E95" w:rsidRDefault="00E53E95" w:rsidP="00E53E95">
      <w:r>
        <w:t xml:space="preserve">Together, these </w:t>
      </w:r>
      <w:r w:rsidR="00A15690">
        <w:t>five</w:t>
      </w:r>
      <w:r>
        <w:t xml:space="preserve"> urban areas account for $28.3B or nearly 60% of the replacement cost total ($47.6B) across all </w:t>
      </w:r>
      <w:r w:rsidRPr="005A6C7E">
        <w:rPr>
          <w:u w:val="single"/>
        </w:rPr>
        <w:t>urban areas</w:t>
      </w:r>
      <w:r>
        <w:t xml:space="preserve"> where LiDAR </w:t>
      </w:r>
      <w:r w:rsidR="00A15690">
        <w:t>data</w:t>
      </w:r>
      <w:r>
        <w:t xml:space="preserve"> were available.</w:t>
      </w:r>
    </w:p>
    <w:p w14:paraId="42476239" w14:textId="0F2CBB68" w:rsidR="00E53E95" w:rsidRDefault="00E53E95" w:rsidP="00E53E95">
      <w:r>
        <w:t>North Auckland Zone</w:t>
      </w:r>
      <w:r w:rsidR="00875606">
        <w:t xml:space="preserve"> (former North Shore City and Rodney District</w:t>
      </w:r>
      <w:r w:rsidR="00C21379">
        <w:t>)</w:t>
      </w:r>
      <w:r>
        <w:t>, Dunedin and Tauranga also accounted for total replacement costs of over $2B each, followed by Nelson at $1.8B.</w:t>
      </w:r>
    </w:p>
    <w:p w14:paraId="478FF3D5" w14:textId="77777777" w:rsidR="00E53E95" w:rsidRPr="00E648DD" w:rsidRDefault="00E53E95" w:rsidP="00E53E95">
      <w:pPr>
        <w:rPr>
          <w:sz w:val="28"/>
          <w:szCs w:val="28"/>
          <w:u w:val="single"/>
        </w:rPr>
      </w:pPr>
      <w:r w:rsidRPr="00E648DD">
        <w:rPr>
          <w:sz w:val="28"/>
          <w:szCs w:val="28"/>
          <w:u w:val="single"/>
        </w:rPr>
        <w:t>Regions and urban areas with highest road and rail network exposure</w:t>
      </w:r>
    </w:p>
    <w:p w14:paraId="788A0506" w14:textId="77777777" w:rsidR="00E53E95" w:rsidRDefault="00E53E95" w:rsidP="00E53E95">
      <w:pPr>
        <w:pStyle w:val="ListParagraph"/>
        <w:numPr>
          <w:ilvl w:val="0"/>
          <w:numId w:val="3"/>
        </w:numPr>
      </w:pPr>
      <w:r>
        <w:t>The total length of all types of road (local, collector, arterial and motorway) is highest in the Waikato for both the 0–1.5 and 0–3 m coastal zones, with just over 800 km and 1,000 km respectively, followed by Canterbury.</w:t>
      </w:r>
    </w:p>
    <w:p w14:paraId="61EF9E6E" w14:textId="77777777" w:rsidR="00E53E95" w:rsidRDefault="00E53E95" w:rsidP="00E53E95">
      <w:pPr>
        <w:pStyle w:val="ListParagraph"/>
      </w:pPr>
    </w:p>
    <w:p w14:paraId="409DC77D" w14:textId="77777777" w:rsidR="00E53E95" w:rsidRDefault="00E53E95" w:rsidP="00E53E95">
      <w:pPr>
        <w:pStyle w:val="ListParagraph"/>
        <w:numPr>
          <w:ilvl w:val="0"/>
          <w:numId w:val="3"/>
        </w:numPr>
      </w:pPr>
      <w:r w:rsidRPr="00C671FC">
        <w:t xml:space="preserve">Nationally there </w:t>
      </w:r>
      <w:r>
        <w:t>are</w:t>
      </w:r>
      <w:r w:rsidRPr="00C671FC">
        <w:t xml:space="preserve"> a</w:t>
      </w:r>
      <w:r>
        <w:t>bout</w:t>
      </w:r>
      <w:r w:rsidRPr="00C671FC">
        <w:t xml:space="preserve"> 192 km of </w:t>
      </w:r>
      <w:r w:rsidRPr="008514CC">
        <w:rPr>
          <w:u w:val="single"/>
        </w:rPr>
        <w:t>arterial</w:t>
      </w:r>
      <w:r w:rsidRPr="00C671FC">
        <w:t xml:space="preserve"> roads with</w:t>
      </w:r>
      <w:r>
        <w:t>in the 0–3 m coastal elevation zone, with</w:t>
      </w:r>
      <w:r w:rsidRPr="00C671FC">
        <w:t xml:space="preserve"> the most extensive networks in W</w:t>
      </w:r>
      <w:r>
        <w:t>aikato, Bay of Plenty and North</w:t>
      </w:r>
      <w:r w:rsidRPr="00C671FC">
        <w:t>l</w:t>
      </w:r>
      <w:r>
        <w:t>a</w:t>
      </w:r>
      <w:r w:rsidRPr="00C671FC">
        <w:t xml:space="preserve">nd. Expressway or motorway networks </w:t>
      </w:r>
      <w:r>
        <w:t>in the four</w:t>
      </w:r>
      <w:r w:rsidRPr="00C671FC">
        <w:t xml:space="preserve"> major urban areas all contain</w:t>
      </w:r>
      <w:r>
        <w:t xml:space="preserve"> segments within both the 0–</w:t>
      </w:r>
      <w:r w:rsidRPr="00C671FC">
        <w:t>1.5</w:t>
      </w:r>
      <w:r>
        <w:t> m and 0–</w:t>
      </w:r>
      <w:r w:rsidRPr="00C671FC">
        <w:t xml:space="preserve">3 m </w:t>
      </w:r>
      <w:r>
        <w:t>elevation zones</w:t>
      </w:r>
      <w:r w:rsidRPr="00C671FC">
        <w:t xml:space="preserve">. </w:t>
      </w:r>
    </w:p>
    <w:p w14:paraId="7FFAE4F7" w14:textId="77777777" w:rsidR="00E53E95" w:rsidRDefault="00E53E95" w:rsidP="00E53E95">
      <w:pPr>
        <w:pStyle w:val="ListParagraph"/>
      </w:pPr>
    </w:p>
    <w:p w14:paraId="572EE0C6" w14:textId="77777777" w:rsidR="00E53E95" w:rsidRDefault="00E53E95" w:rsidP="00E53E95">
      <w:pPr>
        <w:pStyle w:val="ListParagraph"/>
        <w:numPr>
          <w:ilvl w:val="0"/>
          <w:numId w:val="3"/>
        </w:numPr>
      </w:pPr>
      <w:r w:rsidRPr="00C671FC">
        <w:t>Auckland’s State Highway network occupies the greatest extent</w:t>
      </w:r>
      <w:r w:rsidR="00875606">
        <w:t xml:space="preserve"> of motorway</w:t>
      </w:r>
      <w:r w:rsidRPr="00C671FC">
        <w:t xml:space="preserve"> in each </w:t>
      </w:r>
      <w:r>
        <w:t>of these cumulative elevation zones with 5 km and 18 </w:t>
      </w:r>
      <w:r w:rsidRPr="00C671FC">
        <w:t>km</w:t>
      </w:r>
      <w:r>
        <w:t xml:space="preserve"> respectively (although works are under way to raise the North-western Motorway causeway)</w:t>
      </w:r>
      <w:r w:rsidRPr="00C671FC">
        <w:t>.</w:t>
      </w:r>
    </w:p>
    <w:p w14:paraId="3C71EE50" w14:textId="77777777" w:rsidR="00E53E95" w:rsidRDefault="00E53E95" w:rsidP="00E53E95">
      <w:pPr>
        <w:pStyle w:val="ListParagraph"/>
      </w:pPr>
    </w:p>
    <w:p w14:paraId="79D0397E" w14:textId="77777777" w:rsidR="00E53E95" w:rsidRDefault="00E53E95" w:rsidP="00E53E95">
      <w:pPr>
        <w:pStyle w:val="ListParagraph"/>
        <w:numPr>
          <w:ilvl w:val="0"/>
          <w:numId w:val="3"/>
        </w:numPr>
      </w:pPr>
      <w:r>
        <w:t>Nationally</w:t>
      </w:r>
      <w:r w:rsidRPr="00A8019F">
        <w:t>, railway</w:t>
      </w:r>
      <w:r>
        <w:t>-track length triples between 0–1.5 m and 0–</w:t>
      </w:r>
      <w:r w:rsidRPr="00A8019F">
        <w:t>3</w:t>
      </w:r>
      <w:r>
        <w:t> m elevation zones from 46 km to 154 </w:t>
      </w:r>
      <w:r w:rsidRPr="00A8019F">
        <w:t>km. Otago has the most extensive railway track in</w:t>
      </w:r>
      <w:r>
        <w:t xml:space="preserve"> both elevation zones with 13</w:t>
      </w:r>
      <w:r w:rsidRPr="00A8019F">
        <w:t xml:space="preserve"> km and </w:t>
      </w:r>
      <w:r>
        <w:t>nearly 33</w:t>
      </w:r>
      <w:r w:rsidRPr="00A8019F">
        <w:t xml:space="preserve"> km respectively. </w:t>
      </w:r>
    </w:p>
    <w:p w14:paraId="443A8D16" w14:textId="77777777" w:rsidR="00E53E95" w:rsidRDefault="00E53E95" w:rsidP="00E53E95">
      <w:pPr>
        <w:pStyle w:val="ListParagraph"/>
      </w:pPr>
    </w:p>
    <w:p w14:paraId="154357A4" w14:textId="77777777" w:rsidR="00E53E95" w:rsidRDefault="00E53E95" w:rsidP="00E53E95">
      <w:pPr>
        <w:pStyle w:val="ListParagraph"/>
        <w:numPr>
          <w:ilvl w:val="0"/>
          <w:numId w:val="3"/>
        </w:numPr>
      </w:pPr>
      <w:r w:rsidRPr="00A8019F">
        <w:t>Railway networks associated with major ports in the Bay of Plenty (</w:t>
      </w:r>
      <w:r>
        <w:t>27</w:t>
      </w:r>
      <w:r w:rsidRPr="008514CC">
        <w:rPr>
          <w:sz w:val="18"/>
          <w:szCs w:val="18"/>
        </w:rPr>
        <w:t> </w:t>
      </w:r>
      <w:r>
        <w:t>km) and Wellington (24</w:t>
      </w:r>
      <w:r w:rsidRPr="00A8019F">
        <w:t> km) means these regions also contain relatively ex</w:t>
      </w:r>
      <w:r>
        <w:t>tensive track networks in the 0–</w:t>
      </w:r>
      <w:r w:rsidRPr="00A8019F">
        <w:t>3</w:t>
      </w:r>
      <w:r>
        <w:t> </w:t>
      </w:r>
      <w:r w:rsidRPr="00A8019F">
        <w:t xml:space="preserve">m </w:t>
      </w:r>
      <w:r>
        <w:t>elevation zone</w:t>
      </w:r>
      <w:r w:rsidRPr="00A8019F">
        <w:t>.</w:t>
      </w:r>
    </w:p>
    <w:p w14:paraId="5385EF77" w14:textId="77777777" w:rsidR="00E53E95" w:rsidRPr="00E648DD" w:rsidRDefault="00E53E95" w:rsidP="00E53E95">
      <w:pPr>
        <w:spacing w:line="288" w:lineRule="atLeast"/>
        <w:rPr>
          <w:sz w:val="28"/>
          <w:szCs w:val="28"/>
          <w:u w:val="single"/>
        </w:rPr>
      </w:pPr>
      <w:r w:rsidRPr="00E648DD">
        <w:rPr>
          <w:sz w:val="28"/>
          <w:szCs w:val="28"/>
          <w:u w:val="single"/>
        </w:rPr>
        <w:t xml:space="preserve">Summary </w:t>
      </w:r>
    </w:p>
    <w:p w14:paraId="54408D9C" w14:textId="77777777" w:rsidR="00E53E95" w:rsidRPr="00E80D2E" w:rsidRDefault="00E53E95" w:rsidP="00E53E95">
      <w:pPr>
        <w:spacing w:line="288" w:lineRule="atLeast"/>
      </w:pPr>
      <w:r w:rsidRPr="00E80D2E">
        <w:t xml:space="preserve">For the </w:t>
      </w:r>
      <w:r>
        <w:t xml:space="preserve">more exposed lower-lying </w:t>
      </w:r>
      <w:r w:rsidRPr="00615824">
        <w:rPr>
          <w:u w:val="single"/>
        </w:rPr>
        <w:t>0–1.5 m coastal elevation zone</w:t>
      </w:r>
      <w:r w:rsidRPr="00E80D2E">
        <w:t xml:space="preserve"> </w:t>
      </w:r>
      <w:r>
        <w:t xml:space="preserve">for regions </w:t>
      </w:r>
      <w:r w:rsidRPr="00E80D2E">
        <w:t xml:space="preserve">where LiDAR </w:t>
      </w:r>
      <w:r>
        <w:t>topography was</w:t>
      </w:r>
      <w:r w:rsidRPr="00E80D2E">
        <w:t xml:space="preserve"> available, the national totals are:</w:t>
      </w:r>
    </w:p>
    <w:p w14:paraId="4B856A4B" w14:textId="77777777" w:rsidR="00E53E95" w:rsidRPr="00E80D2E" w:rsidRDefault="00E53E95" w:rsidP="00E53E95">
      <w:pPr>
        <w:pStyle w:val="ListParagraph"/>
        <w:numPr>
          <w:ilvl w:val="0"/>
          <w:numId w:val="4"/>
        </w:numPr>
        <w:spacing w:after="180" w:line="288" w:lineRule="atLeast"/>
      </w:pPr>
      <w:r w:rsidRPr="00E80D2E">
        <w:t>normally resident p</w:t>
      </w:r>
      <w:r>
        <w:t>opulation is 133,265 (2013 Census)</w:t>
      </w:r>
    </w:p>
    <w:p w14:paraId="584BAA2B" w14:textId="77777777" w:rsidR="00E53E95" w:rsidRPr="00E80D2E" w:rsidRDefault="00E53E95" w:rsidP="00E53E95">
      <w:pPr>
        <w:pStyle w:val="ListParagraph"/>
        <w:numPr>
          <w:ilvl w:val="0"/>
          <w:numId w:val="4"/>
        </w:numPr>
        <w:spacing w:after="180" w:line="288" w:lineRule="atLeast"/>
      </w:pPr>
      <w:r w:rsidRPr="00E80D2E">
        <w:t>n</w:t>
      </w:r>
      <w:r>
        <w:t>early 186</w:t>
      </w:r>
      <w:r w:rsidRPr="00E80D2E">
        <w:t xml:space="preserve">,000  land parcels </w:t>
      </w:r>
      <w:r>
        <w:t>(i.e., legal properties)</w:t>
      </w:r>
    </w:p>
    <w:p w14:paraId="69CC152D" w14:textId="77777777" w:rsidR="00E53E95" w:rsidRPr="00E80D2E" w:rsidRDefault="00E53E95" w:rsidP="00E53E95">
      <w:pPr>
        <w:pStyle w:val="ListParagraph"/>
        <w:numPr>
          <w:ilvl w:val="0"/>
          <w:numId w:val="4"/>
        </w:numPr>
        <w:spacing w:after="180" w:line="288" w:lineRule="atLeast"/>
      </w:pPr>
      <w:r>
        <w:t>total number of buildings is 68,170 with a replacement cost of $19</w:t>
      </w:r>
      <w:r w:rsidRPr="00E80D2E">
        <w:t>B in 2011 $NZ</w:t>
      </w:r>
    </w:p>
    <w:p w14:paraId="55554C38" w14:textId="77777777" w:rsidR="00E53E95" w:rsidRPr="00E80D2E" w:rsidRDefault="00E53E95" w:rsidP="00E53E95">
      <w:pPr>
        <w:pStyle w:val="ListParagraph"/>
        <w:numPr>
          <w:ilvl w:val="0"/>
          <w:numId w:val="4"/>
        </w:numPr>
        <w:spacing w:after="180" w:line="288" w:lineRule="atLeast"/>
      </w:pPr>
      <w:r>
        <w:t>382</w:t>
      </w:r>
      <w:r w:rsidRPr="00E80D2E">
        <w:t xml:space="preserve"> critical-facility or government buildings</w:t>
      </w:r>
    </w:p>
    <w:p w14:paraId="4459D743" w14:textId="77777777" w:rsidR="00E53E95" w:rsidRPr="00E80D2E" w:rsidRDefault="00E53E95" w:rsidP="00E53E95">
      <w:pPr>
        <w:pStyle w:val="ListParagraph"/>
        <w:numPr>
          <w:ilvl w:val="0"/>
          <w:numId w:val="4"/>
        </w:numPr>
        <w:spacing w:after="180" w:line="288" w:lineRule="atLeast"/>
      </w:pPr>
      <w:r>
        <w:t>2,120</w:t>
      </w:r>
      <w:r w:rsidRPr="00E80D2E">
        <w:t> km of road, with nearly 91% designated as local roads</w:t>
      </w:r>
    </w:p>
    <w:p w14:paraId="45A3F3CA" w14:textId="77777777" w:rsidR="00E53E95" w:rsidRPr="00E80D2E" w:rsidRDefault="00E53E95" w:rsidP="00E53E95">
      <w:pPr>
        <w:pStyle w:val="ListParagraph"/>
        <w:numPr>
          <w:ilvl w:val="0"/>
          <w:numId w:val="4"/>
        </w:numPr>
        <w:spacing w:after="180" w:line="288" w:lineRule="atLeast"/>
      </w:pPr>
      <w:r>
        <w:t>46</w:t>
      </w:r>
      <w:r w:rsidRPr="00E80D2E">
        <w:t> km of railway lines identified</w:t>
      </w:r>
    </w:p>
    <w:p w14:paraId="3DCC6D0A" w14:textId="77777777" w:rsidR="00E53E95" w:rsidRPr="00E80D2E" w:rsidRDefault="00E53E95" w:rsidP="00E53E95">
      <w:pPr>
        <w:pStyle w:val="ListParagraph"/>
        <w:numPr>
          <w:ilvl w:val="0"/>
          <w:numId w:val="4"/>
        </w:numPr>
        <w:spacing w:after="180" w:line="288" w:lineRule="atLeast"/>
      </w:pPr>
      <w:r>
        <w:t xml:space="preserve">More than </w:t>
      </w:r>
      <w:r w:rsidRPr="00E80D2E">
        <w:t>1500 jetty or</w:t>
      </w:r>
      <w:r>
        <w:t xml:space="preserve"> wharf structures</w:t>
      </w:r>
    </w:p>
    <w:p w14:paraId="667FFE9C" w14:textId="77777777" w:rsidR="00E53E95" w:rsidRPr="00E80D2E" w:rsidRDefault="00E53E95" w:rsidP="00E53E95">
      <w:pPr>
        <w:pStyle w:val="ListParagraph"/>
        <w:numPr>
          <w:ilvl w:val="0"/>
          <w:numId w:val="4"/>
        </w:numPr>
        <w:spacing w:after="180" w:line="288" w:lineRule="atLeast"/>
      </w:pPr>
      <w:r>
        <w:t>5</w:t>
      </w:r>
      <w:r w:rsidRPr="00E80D2E">
        <w:t xml:space="preserve"> airports</w:t>
      </w:r>
    </w:p>
    <w:p w14:paraId="575788AD" w14:textId="77777777" w:rsidR="00E53E95" w:rsidRPr="00E80D2E" w:rsidRDefault="00E53E95" w:rsidP="00E53E95">
      <w:pPr>
        <w:spacing w:line="288" w:lineRule="atLeast"/>
      </w:pPr>
      <w:r w:rsidRPr="00E80D2E">
        <w:t xml:space="preserve">For the </w:t>
      </w:r>
      <w:r w:rsidRPr="00615824">
        <w:rPr>
          <w:u w:val="single"/>
        </w:rPr>
        <w:t>wider 0–3 m coastal elevation zone</w:t>
      </w:r>
      <w:r>
        <w:t xml:space="preserve"> for regions where LiDAR</w:t>
      </w:r>
      <w:r w:rsidRPr="00E80D2E">
        <w:t xml:space="preserve"> </w:t>
      </w:r>
      <w:r>
        <w:t>topography was</w:t>
      </w:r>
      <w:r w:rsidRPr="00E80D2E">
        <w:t xml:space="preserve"> available, the national totals are:</w:t>
      </w:r>
    </w:p>
    <w:p w14:paraId="5423452A" w14:textId="77777777" w:rsidR="00E53E95" w:rsidRPr="00E80D2E" w:rsidRDefault="00E53E95" w:rsidP="00E53E95">
      <w:pPr>
        <w:pStyle w:val="ListParagraph"/>
        <w:numPr>
          <w:ilvl w:val="0"/>
          <w:numId w:val="4"/>
        </w:numPr>
        <w:spacing w:after="180" w:line="288" w:lineRule="atLeast"/>
      </w:pPr>
      <w:r w:rsidRPr="00E80D2E">
        <w:t>normally resident population is 281,902</w:t>
      </w:r>
    </w:p>
    <w:p w14:paraId="682140CF" w14:textId="77777777" w:rsidR="00E53E95" w:rsidRPr="00E80D2E" w:rsidRDefault="00E53E95" w:rsidP="00E53E95">
      <w:pPr>
        <w:pStyle w:val="ListParagraph"/>
        <w:numPr>
          <w:ilvl w:val="0"/>
          <w:numId w:val="4"/>
        </w:numPr>
        <w:spacing w:after="180" w:line="288" w:lineRule="atLeast"/>
      </w:pPr>
      <w:r w:rsidRPr="00E80D2E">
        <w:t xml:space="preserve">nearly 294,000  land parcels </w:t>
      </w:r>
      <w:r>
        <w:t>(i.e., legal properties)</w:t>
      </w:r>
    </w:p>
    <w:p w14:paraId="5EC03C42" w14:textId="77777777" w:rsidR="00E53E95" w:rsidRPr="00E80D2E" w:rsidRDefault="00E53E95" w:rsidP="00E53E95">
      <w:pPr>
        <w:pStyle w:val="ListParagraph"/>
        <w:numPr>
          <w:ilvl w:val="0"/>
          <w:numId w:val="4"/>
        </w:numPr>
        <w:spacing w:after="180" w:line="288" w:lineRule="atLeast"/>
      </w:pPr>
      <w:r w:rsidRPr="00E80D2E">
        <w:t>total number of buildings is 166,750 with a replacement cost of $52B in 2011 $NZ</w:t>
      </w:r>
    </w:p>
    <w:p w14:paraId="0FD4A1DF" w14:textId="77777777" w:rsidR="00E53E95" w:rsidRPr="00E80D2E" w:rsidRDefault="00E53E95" w:rsidP="00E53E95">
      <w:pPr>
        <w:pStyle w:val="ListParagraph"/>
        <w:numPr>
          <w:ilvl w:val="0"/>
          <w:numId w:val="4"/>
        </w:numPr>
        <w:spacing w:after="180" w:line="288" w:lineRule="atLeast"/>
      </w:pPr>
      <w:r w:rsidRPr="00E80D2E">
        <w:t>nearly 92% of the coastal risk exposure (using building replacement costs as a measure) is derived from urbanised areas compared with rural areas</w:t>
      </w:r>
    </w:p>
    <w:p w14:paraId="6B529F15" w14:textId="77777777" w:rsidR="00E53E95" w:rsidRPr="00E80D2E" w:rsidRDefault="00E53E95" w:rsidP="00E53E95">
      <w:pPr>
        <w:pStyle w:val="ListParagraph"/>
        <w:numPr>
          <w:ilvl w:val="0"/>
          <w:numId w:val="4"/>
        </w:numPr>
        <w:spacing w:after="180" w:line="288" w:lineRule="atLeast"/>
      </w:pPr>
      <w:r w:rsidRPr="00E80D2E">
        <w:t>1,014 critical-facility or government buildings</w:t>
      </w:r>
    </w:p>
    <w:p w14:paraId="5BADD5DF" w14:textId="77777777" w:rsidR="00E53E95" w:rsidRPr="00E80D2E" w:rsidRDefault="00E53E95" w:rsidP="00E53E95">
      <w:pPr>
        <w:pStyle w:val="ListParagraph"/>
        <w:numPr>
          <w:ilvl w:val="0"/>
          <w:numId w:val="4"/>
        </w:numPr>
        <w:spacing w:after="180" w:line="288" w:lineRule="atLeast"/>
      </w:pPr>
      <w:r w:rsidRPr="00E80D2E">
        <w:t>over 3,900 km of road, with nearly 91% designated as local roads</w:t>
      </w:r>
    </w:p>
    <w:p w14:paraId="36F2C5EC" w14:textId="77777777" w:rsidR="00E53E95" w:rsidRPr="00E80D2E" w:rsidRDefault="00E53E95" w:rsidP="00E53E95">
      <w:pPr>
        <w:pStyle w:val="ListParagraph"/>
        <w:numPr>
          <w:ilvl w:val="0"/>
          <w:numId w:val="4"/>
        </w:numPr>
        <w:spacing w:after="180" w:line="288" w:lineRule="atLeast"/>
      </w:pPr>
      <w:r w:rsidRPr="00E80D2E">
        <w:t>154 km of railway lines identified</w:t>
      </w:r>
    </w:p>
    <w:p w14:paraId="1A9FB685" w14:textId="77777777" w:rsidR="00E53E95" w:rsidRPr="00E80D2E" w:rsidRDefault="00E53E95" w:rsidP="00E53E95">
      <w:pPr>
        <w:pStyle w:val="ListParagraph"/>
        <w:numPr>
          <w:ilvl w:val="0"/>
          <w:numId w:val="4"/>
        </w:numPr>
        <w:spacing w:after="180" w:line="288" w:lineRule="atLeast"/>
      </w:pPr>
      <w:r w:rsidRPr="00E80D2E">
        <w:t>over 1500 jetty or</w:t>
      </w:r>
      <w:r>
        <w:t xml:space="preserve"> wharf structures</w:t>
      </w:r>
    </w:p>
    <w:p w14:paraId="7C29C03D" w14:textId="77777777" w:rsidR="00E53E95" w:rsidRPr="00E80D2E" w:rsidRDefault="00E53E95" w:rsidP="00E53E95">
      <w:pPr>
        <w:pStyle w:val="ListParagraph"/>
        <w:numPr>
          <w:ilvl w:val="0"/>
          <w:numId w:val="4"/>
        </w:numPr>
        <w:spacing w:after="180" w:line="288" w:lineRule="atLeast"/>
      </w:pPr>
      <w:r w:rsidRPr="00E80D2E">
        <w:t>7 or more airports and 25 airstrips or aerodromes</w:t>
      </w:r>
    </w:p>
    <w:p w14:paraId="68C0DFA4" w14:textId="77777777" w:rsidR="00E53E95" w:rsidRDefault="00E53E95" w:rsidP="00E53E95"/>
    <w:p w14:paraId="4A507D9B" w14:textId="77777777" w:rsidR="00E53E95" w:rsidRDefault="00E53E95" w:rsidP="00E53E95"/>
    <w:p w14:paraId="0CEF73C9" w14:textId="77777777" w:rsidR="00E53E95" w:rsidRDefault="00E53E95" w:rsidP="00E53E95"/>
    <w:p w14:paraId="59399CA4" w14:textId="77777777" w:rsidR="00E53E95" w:rsidRDefault="00E53E95" w:rsidP="00E53E95"/>
    <w:p w14:paraId="123B2961" w14:textId="77777777" w:rsidR="00E53E95" w:rsidRDefault="00E53E95" w:rsidP="00E53E95"/>
    <w:p w14:paraId="02AF3400" w14:textId="77777777" w:rsidR="00E53E95" w:rsidRDefault="00E53E95" w:rsidP="00E53E95"/>
    <w:p w14:paraId="166A9B9A" w14:textId="77777777" w:rsidR="00E53E95" w:rsidRDefault="00E53E95" w:rsidP="00E53E95"/>
    <w:p w14:paraId="12E00DE2" w14:textId="77777777" w:rsidR="00E53E95" w:rsidRDefault="00E53E95" w:rsidP="00E53E95"/>
    <w:p w14:paraId="388164A7" w14:textId="77777777" w:rsidR="00E53E95" w:rsidRDefault="00E53E95" w:rsidP="00E53E95"/>
    <w:p w14:paraId="56FF346E" w14:textId="77777777" w:rsidR="00E53E95" w:rsidRDefault="00A15690" w:rsidP="00E53E95">
      <w:r>
        <w:t>T</w:t>
      </w:r>
      <w:r w:rsidR="00E53E95">
        <w:t>he</w:t>
      </w:r>
      <w:r w:rsidR="00875606">
        <w:t xml:space="preserve"> highest regional counts and a national summary for the</w:t>
      </w:r>
      <w:r w:rsidR="00E53E95">
        <w:t xml:space="preserve"> two elevation zones are shown below:</w:t>
      </w:r>
    </w:p>
    <w:p w14:paraId="178B5108" w14:textId="77777777" w:rsidR="007C47B5" w:rsidRDefault="007C47B5" w:rsidP="00E53E95">
      <w:pPr>
        <w:rPr>
          <w:noProof/>
          <w:lang w:eastAsia="en-NZ"/>
        </w:rPr>
      </w:pPr>
    </w:p>
    <w:p w14:paraId="56B0570D" w14:textId="77777777" w:rsidR="00E53E95" w:rsidRDefault="00E53E95" w:rsidP="00E53E95">
      <w:r w:rsidRPr="00F932D8">
        <w:rPr>
          <w:noProof/>
          <w:lang w:eastAsia="en-NZ"/>
        </w:rPr>
        <w:lastRenderedPageBreak/>
        <w:drawing>
          <wp:inline distT="0" distB="0" distL="0" distR="0" wp14:anchorId="523C3FD9" wp14:editId="6C6A3CE0">
            <wp:extent cx="5731510" cy="3218998"/>
            <wp:effectExtent l="19050" t="19050" r="2159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18998"/>
                    </a:xfrm>
                    <a:prstGeom prst="rect">
                      <a:avLst/>
                    </a:prstGeom>
                    <a:noFill/>
                    <a:ln w="9525">
                      <a:solidFill>
                        <a:sysClr val="windowText" lastClr="000000">
                          <a:lumMod val="50000"/>
                          <a:lumOff val="50000"/>
                        </a:sysClr>
                      </a:solidFill>
                    </a:ln>
                  </pic:spPr>
                </pic:pic>
              </a:graphicData>
            </a:graphic>
          </wp:inline>
        </w:drawing>
      </w:r>
    </w:p>
    <w:p w14:paraId="460881F0" w14:textId="77777777" w:rsidR="00E53E95" w:rsidRDefault="00E53E95" w:rsidP="00E53E95">
      <w:r w:rsidRPr="00F932D8">
        <w:rPr>
          <w:noProof/>
          <w:lang w:eastAsia="en-NZ"/>
        </w:rPr>
        <w:drawing>
          <wp:inline distT="0" distB="0" distL="0" distR="0" wp14:anchorId="42AE3D6F" wp14:editId="3177A012">
            <wp:extent cx="5731510" cy="3218998"/>
            <wp:effectExtent l="19050" t="19050" r="21590"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18998"/>
                    </a:xfrm>
                    <a:prstGeom prst="rect">
                      <a:avLst/>
                    </a:prstGeom>
                    <a:noFill/>
                    <a:ln>
                      <a:solidFill>
                        <a:sysClr val="windowText" lastClr="000000">
                          <a:lumMod val="50000"/>
                          <a:lumOff val="50000"/>
                        </a:sysClr>
                      </a:solidFill>
                    </a:ln>
                  </pic:spPr>
                </pic:pic>
              </a:graphicData>
            </a:graphic>
          </wp:inline>
        </w:drawing>
      </w:r>
    </w:p>
    <w:p w14:paraId="4F6DA376" w14:textId="77777777" w:rsidR="00E53E95" w:rsidRDefault="00E53E95" w:rsidP="00E53E95"/>
    <w:p w14:paraId="3C24C673" w14:textId="77777777" w:rsidR="00E53E95" w:rsidRPr="00197379" w:rsidRDefault="00E53E95" w:rsidP="00E53E95">
      <w:pPr>
        <w:pStyle w:val="Caption"/>
        <w:keepNext w:val="0"/>
        <w:spacing w:before="0" w:after="0"/>
        <w:rPr>
          <w:vanish/>
          <w:specVanish/>
        </w:rPr>
      </w:pPr>
      <w:r>
        <w:t>Figure ES-2:</w:t>
      </w:r>
      <w:r>
        <w:tab/>
        <w:t>Summary of regions with the highest counts of assets or populations and national totals for coastal risk exposure across regions with LiDAR available (excl. grey-shaded areas) for the 0–1.5 m and 0–3 m elevation zones.</w:t>
      </w:r>
    </w:p>
    <w:p w14:paraId="69DE08C9" w14:textId="77777777" w:rsidR="00E53E95" w:rsidRPr="00F02B31" w:rsidRDefault="00E53E95" w:rsidP="00E53E95">
      <w:pPr>
        <w:pStyle w:val="BodyText"/>
        <w:spacing w:after="0" w:line="240" w:lineRule="auto"/>
      </w:pPr>
      <w:r>
        <w:t xml:space="preserve">   </w:t>
      </w:r>
      <w:r w:rsidRPr="00732BC2">
        <w:rPr>
          <w:i/>
          <w:sz w:val="20"/>
        </w:rPr>
        <w:t>Notes</w:t>
      </w:r>
      <w:r w:rsidRPr="00732BC2">
        <w:rPr>
          <w:sz w:val="20"/>
        </w:rPr>
        <w:t>: Population (all ages) from 2013 Census</w:t>
      </w:r>
      <w:r>
        <w:rPr>
          <w:sz w:val="20"/>
        </w:rPr>
        <w:t xml:space="preserve"> (normally-resident)</w:t>
      </w:r>
      <w:r w:rsidRPr="00732BC2">
        <w:rPr>
          <w:sz w:val="20"/>
        </w:rPr>
        <w:t xml:space="preserve">; regional </w:t>
      </w:r>
      <w:r>
        <w:rPr>
          <w:sz w:val="20"/>
        </w:rPr>
        <w:t>building</w:t>
      </w:r>
      <w:r w:rsidRPr="00732BC2">
        <w:rPr>
          <w:sz w:val="20"/>
        </w:rPr>
        <w:t xml:space="preserve"> counts only include residential</w:t>
      </w:r>
      <w:r>
        <w:rPr>
          <w:sz w:val="20"/>
        </w:rPr>
        <w:t>-type</w:t>
      </w:r>
      <w:r w:rsidRPr="00732BC2">
        <w:rPr>
          <w:sz w:val="20"/>
        </w:rPr>
        <w:t xml:space="preserve"> buildings (from </w:t>
      </w:r>
      <w:proofErr w:type="spellStart"/>
      <w:r w:rsidRPr="00732BC2">
        <w:rPr>
          <w:sz w:val="20"/>
        </w:rPr>
        <w:t>RiskScape</w:t>
      </w:r>
      <w:proofErr w:type="spellEnd"/>
      <w:r w:rsidRPr="00732BC2">
        <w:rPr>
          <w:sz w:val="20"/>
        </w:rPr>
        <w:t xml:space="preserve">) and excl. the Residential Red Zone in Christchurch; roads subdivided into "local" (includes local and feeder roads) and "arterial" (includes arterial and motorways), stars show airports that partially or wholly occupy the elevation </w:t>
      </w:r>
      <w:r>
        <w:rPr>
          <w:sz w:val="20"/>
        </w:rPr>
        <w:t>zone</w:t>
      </w:r>
      <w:r w:rsidRPr="00732BC2">
        <w:rPr>
          <w:sz w:val="20"/>
        </w:rPr>
        <w:t xml:space="preserve">. Replacement costs </w:t>
      </w:r>
      <w:r>
        <w:rPr>
          <w:sz w:val="20"/>
        </w:rPr>
        <w:t xml:space="preserve">from </w:t>
      </w:r>
      <w:proofErr w:type="spellStart"/>
      <w:r>
        <w:rPr>
          <w:sz w:val="20"/>
        </w:rPr>
        <w:t>RiskScape</w:t>
      </w:r>
      <w:proofErr w:type="spellEnd"/>
      <w:r>
        <w:rPr>
          <w:sz w:val="20"/>
        </w:rPr>
        <w:t xml:space="preserve"> </w:t>
      </w:r>
      <w:r w:rsidRPr="00732BC2">
        <w:rPr>
          <w:sz w:val="20"/>
        </w:rPr>
        <w:t>based on 2011 NZ$.</w:t>
      </w:r>
      <w:r>
        <w:rPr>
          <w:sz w:val="20"/>
        </w:rPr>
        <w:t xml:space="preserve"> Critical-facility buildings include those for engineering lifelines and utilities, emergency services, government and education.</w:t>
      </w:r>
    </w:p>
    <w:p w14:paraId="0603ED27" w14:textId="77777777" w:rsidR="00E53E95" w:rsidRDefault="00E53E95" w:rsidP="00E53E95"/>
    <w:p w14:paraId="5FAD9462" w14:textId="77777777" w:rsidR="00665720" w:rsidRDefault="00665720" w:rsidP="00665720">
      <w:pPr>
        <w:pStyle w:val="ListParagraph"/>
      </w:pPr>
      <w:bookmarkStart w:id="1" w:name="rptReportTitle"/>
    </w:p>
    <w:p w14:paraId="21225BAE" w14:textId="77777777" w:rsidR="00665720" w:rsidRDefault="00665720" w:rsidP="00665720">
      <w:pPr>
        <w:pStyle w:val="ListParagraph"/>
        <w:rPr>
          <w:b/>
          <w:sz w:val="28"/>
          <w:szCs w:val="28"/>
        </w:rPr>
      </w:pPr>
      <w:r w:rsidRPr="00E648DD">
        <w:rPr>
          <w:b/>
          <w:sz w:val="28"/>
          <w:szCs w:val="28"/>
        </w:rPr>
        <w:lastRenderedPageBreak/>
        <w:t xml:space="preserve">Report </w:t>
      </w:r>
      <w:r>
        <w:rPr>
          <w:b/>
          <w:sz w:val="28"/>
          <w:szCs w:val="28"/>
        </w:rPr>
        <w:t>2</w:t>
      </w:r>
      <w:r w:rsidRPr="00E648DD">
        <w:rPr>
          <w:b/>
          <w:sz w:val="28"/>
          <w:szCs w:val="28"/>
        </w:rPr>
        <w:t xml:space="preserve">: </w:t>
      </w:r>
      <w:r>
        <w:rPr>
          <w:b/>
          <w:sz w:val="28"/>
          <w:szCs w:val="28"/>
        </w:rPr>
        <w:t>The effect of sea-level rise on the frequency of extreme sea levels in New Zealand</w:t>
      </w:r>
    </w:p>
    <w:p w14:paraId="3E23E127" w14:textId="77777777" w:rsidR="00665720" w:rsidRDefault="00665720" w:rsidP="00665720">
      <w:pPr>
        <w:pStyle w:val="ListParagraph"/>
        <w:rPr>
          <w:b/>
          <w:sz w:val="28"/>
          <w:szCs w:val="28"/>
        </w:rPr>
      </w:pPr>
    </w:p>
    <w:bookmarkEnd w:id="1"/>
    <w:p w14:paraId="43CAD445" w14:textId="77777777" w:rsidR="00B3135D" w:rsidRDefault="00B3135D" w:rsidP="00B3135D">
      <w:pPr>
        <w:pStyle w:val="BodyText"/>
      </w:pPr>
      <w:r>
        <w:t xml:space="preserve">This report focuses on the </w:t>
      </w:r>
      <w:r w:rsidRPr="002B2F73">
        <w:rPr>
          <w:i/>
        </w:rPr>
        <w:t>increasing frequency</w:t>
      </w:r>
      <w:r>
        <w:t xml:space="preserve"> of sea-levels reaching or exceeding high thresholds relative to present-day mean sea level, using some recent historic coastal storm events as examples that people can identify with for each of the four main coastal cities. </w:t>
      </w:r>
    </w:p>
    <w:p w14:paraId="573E3C79" w14:textId="77777777" w:rsidR="00B3135D" w:rsidRDefault="00B3135D" w:rsidP="00B3135D">
      <w:r>
        <w:t>Sites with small tidal range, such as Wellington, are more sensitive to sea-level rise (SLR). They will experience a greater increase in the number of high waters reaching present-day extreme sea levels than sites with large tidal range such as Auckland.</w:t>
      </w:r>
    </w:p>
    <w:p w14:paraId="09A2CCE5" w14:textId="77777777" w:rsidR="00B3135D" w:rsidRDefault="00B3135D" w:rsidP="00B3135D">
      <w:r>
        <w:t>The 0.01 annual exceedance probability (AEP) sea-level elevation is often adopted as a design “extreme sea-level” for coastal-hazard planning in New Zealand, being a high sea level that is exceeded infrequently when high tides and storm surges combine (i.e., a storm tide).</w:t>
      </w:r>
    </w:p>
    <w:p w14:paraId="459B25FD" w14:textId="77777777" w:rsidR="00B3135D" w:rsidRDefault="00B3135D" w:rsidP="00B3135D">
      <w:r>
        <w:t>This high storm-tide sea-level elevation is seldom reached in any given year at present-day mean sea level (MSL), however, projected sea-level rise, which lifts the base on which the tides operate, will noticeably increase the frequency of sea-levels reaching or exceeding these storm-tide elevations.</w:t>
      </w:r>
    </w:p>
    <w:p w14:paraId="6C0D289C" w14:textId="77777777" w:rsidR="00B3135D" w:rsidRDefault="00B3135D" w:rsidP="00B3135D">
      <w:pPr>
        <w:pStyle w:val="BodyText"/>
      </w:pPr>
      <w:r>
        <w:t>Present-day 0.01 AEP extreme sea-levels, which are expected to be reached or exceeded only once every 100 years (on average) presently, will become an annual affair (on average), at all sites, after only a 0.33 m SLR relative to present-day MSL.</w:t>
      </w:r>
    </w:p>
    <w:p w14:paraId="3ED5B556" w14:textId="77777777" w:rsidR="00B3135D" w:rsidRDefault="00B3135D" w:rsidP="00B3135D">
      <w:pPr>
        <w:pStyle w:val="BodyText"/>
      </w:pPr>
      <w:r>
        <w:t xml:space="preserve">A 0.33 m SLR is expected by 2070 under the projected “business as usual” (IPCC RCP8.5 median) future SLR trajectory, or by 2090 under the low-emissions (RCP2.6 median) trajectory. Therefore, by 2050–2070, depending on location, there will be around one event or more per year that reaches what is presently considered to be an extreme 0.01 AEP sea level, and this will occur for either the fastest </w:t>
      </w:r>
      <w:r>
        <w:rPr>
          <w:i/>
        </w:rPr>
        <w:t>or slowest</w:t>
      </w:r>
      <w:r>
        <w:t xml:space="preserve"> IPCC AR5 median SLR trajectories (with the exception of sites with large tidal range such as Auckland, when this might be delayed until 2090 if SLR proceeds more slowly under a low-emissions scenario). </w:t>
      </w:r>
    </w:p>
    <w:p w14:paraId="279A8281" w14:textId="77777777" w:rsidR="00B3135D" w:rsidRDefault="00B3135D" w:rsidP="00B3135D">
      <w:pPr>
        <w:pStyle w:val="BodyText"/>
      </w:pPr>
      <w:r>
        <w:t>Once this annual occurrence threshold is reached, the number of sea levels exceeding the present-day 0.01 AEP elevation will increase rapidly in time as sea level continues to rise to between 0.5 and 1 m or more in the next 100 years.</w:t>
      </w:r>
    </w:p>
    <w:p w14:paraId="6D8D55AB" w14:textId="77777777" w:rsidR="00B3135D" w:rsidRDefault="00B3135D" w:rsidP="00B3135D">
      <w:pPr>
        <w:pStyle w:val="BodyText"/>
      </w:pPr>
      <w:r>
        <w:t xml:space="preserve">Aside from “extreme sea levels”, so-called “lesser extremes”, or </w:t>
      </w:r>
      <w:r w:rsidRPr="00BE3EA8">
        <w:t>“</w:t>
      </w:r>
      <w:r>
        <w:t>n</w:t>
      </w:r>
      <w:r w:rsidRPr="00BE3EA8">
        <w:t>uisance flooding” events</w:t>
      </w:r>
      <w:r>
        <w:t xml:space="preserve"> that occur about once per year at present-day MSL will occur about 10-times per year by about 2045, and will increase rapidly in frequency over time thereafter. </w:t>
      </w:r>
    </w:p>
    <w:p w14:paraId="621C73E9" w14:textId="77777777" w:rsidR="00B3135D" w:rsidRDefault="00B3135D" w:rsidP="00B3135D">
      <w:pPr>
        <w:pStyle w:val="BodyText"/>
      </w:pPr>
      <w:r>
        <w:t xml:space="preserve">Future SLR will also </w:t>
      </w:r>
      <w:r w:rsidRPr="002B2F73">
        <w:rPr>
          <w:i/>
        </w:rPr>
        <w:t xml:space="preserve">increase </w:t>
      </w:r>
      <w:r w:rsidRPr="002B2F73">
        <w:t>the</w:t>
      </w:r>
      <w:r w:rsidRPr="002B2F73">
        <w:rPr>
          <w:i/>
        </w:rPr>
        <w:t xml:space="preserve"> depth</w:t>
      </w:r>
      <w:r>
        <w:t xml:space="preserve"> of large storm tides (extreme sea levels). Inundation during future infrequent extreme sea level events will be deeper and will reach further inland than at present.</w:t>
      </w:r>
    </w:p>
    <w:p w14:paraId="789795F8" w14:textId="77777777" w:rsidR="00B3135D" w:rsidRDefault="00B3135D" w:rsidP="00B3135D">
      <w:pPr>
        <w:pStyle w:val="ListParagraph"/>
      </w:pPr>
    </w:p>
    <w:p w14:paraId="6A61539C" w14:textId="77777777" w:rsidR="00B3135D" w:rsidRDefault="00B3135D" w:rsidP="00B3135D"/>
    <w:p w14:paraId="7753F890" w14:textId="77777777" w:rsidR="007566E0" w:rsidRDefault="007566E0" w:rsidP="007566E0">
      <w:pPr>
        <w:pStyle w:val="ListParagraph"/>
      </w:pPr>
    </w:p>
    <w:p w14:paraId="6B739F2D" w14:textId="77777777" w:rsidR="00DD1E35" w:rsidRDefault="00DD1E35"/>
    <w:sectPr w:rsidR="00DD1E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D1FFC8" w14:textId="77777777" w:rsidR="000D6150" w:rsidRDefault="000D6150" w:rsidP="007C47B5">
      <w:pPr>
        <w:spacing w:after="0" w:line="240" w:lineRule="auto"/>
      </w:pPr>
      <w:r>
        <w:separator/>
      </w:r>
    </w:p>
  </w:endnote>
  <w:endnote w:type="continuationSeparator" w:id="0">
    <w:p w14:paraId="0576E9DF" w14:textId="77777777" w:rsidR="000D6150" w:rsidRDefault="000D6150" w:rsidP="007C4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760A78" w14:textId="77777777" w:rsidR="000D6150" w:rsidRDefault="000D6150" w:rsidP="007C47B5">
      <w:pPr>
        <w:spacing w:after="0" w:line="240" w:lineRule="auto"/>
      </w:pPr>
      <w:r>
        <w:separator/>
      </w:r>
    </w:p>
  </w:footnote>
  <w:footnote w:type="continuationSeparator" w:id="0">
    <w:p w14:paraId="7A8139BF" w14:textId="77777777" w:rsidR="000D6150" w:rsidRDefault="000D6150" w:rsidP="007C47B5">
      <w:pPr>
        <w:spacing w:after="0" w:line="240" w:lineRule="auto"/>
      </w:pPr>
      <w:r>
        <w:continuationSeparator/>
      </w:r>
    </w:p>
  </w:footnote>
  <w:footnote w:id="1">
    <w:p w14:paraId="2CE7CAE3" w14:textId="77777777" w:rsidR="00C51062" w:rsidRDefault="00C51062" w:rsidP="00C51062">
      <w:pPr>
        <w:pStyle w:val="FootnoteText"/>
      </w:pPr>
      <w:r>
        <w:rPr>
          <w:rStyle w:val="FootnoteReference"/>
        </w:rPr>
        <w:footnoteRef/>
      </w:r>
      <w:r>
        <w:t xml:space="preserve"> </w:t>
      </w:r>
      <w:r w:rsidRPr="00BB128E">
        <w:rPr>
          <w:u w:val="single"/>
        </w:rPr>
        <w:t>Li</w:t>
      </w:r>
      <w:r>
        <w:t xml:space="preserve">ght </w:t>
      </w:r>
      <w:r w:rsidRPr="00BB128E">
        <w:rPr>
          <w:u w:val="single"/>
        </w:rPr>
        <w:t>D</w:t>
      </w:r>
      <w:r>
        <w:t xml:space="preserve">etection </w:t>
      </w:r>
      <w:r w:rsidRPr="00BB128E">
        <w:rPr>
          <w:u w:val="single"/>
        </w:rPr>
        <w:t>A</w:t>
      </w:r>
      <w:r>
        <w:t xml:space="preserve">nd </w:t>
      </w:r>
      <w:r w:rsidRPr="00BB128E">
        <w:rPr>
          <w:u w:val="single"/>
        </w:rPr>
        <w:t>R</w:t>
      </w:r>
      <w:r>
        <w:t>anging, which is a laser-based aerial scanning method for measuring elevations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45ECC"/>
    <w:multiLevelType w:val="hybridMultilevel"/>
    <w:tmpl w:val="71D6B52E"/>
    <w:lvl w:ilvl="0" w:tplc="C9D8E150">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25F088B"/>
    <w:multiLevelType w:val="hybridMultilevel"/>
    <w:tmpl w:val="CBA40FF4"/>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2" w15:restartNumberingAfterBreak="0">
    <w:nsid w:val="1A305368"/>
    <w:multiLevelType w:val="multilevel"/>
    <w:tmpl w:val="284675BE"/>
    <w:lvl w:ilvl="0">
      <w:start w:val="1"/>
      <w:numFmt w:val="bullet"/>
      <w:pStyle w:val="BulletLevel1"/>
      <w:lvlText w:val=""/>
      <w:lvlJc w:val="left"/>
      <w:pPr>
        <w:tabs>
          <w:tab w:val="num" w:pos="1276"/>
        </w:tabs>
        <w:ind w:left="1276" w:hanging="425"/>
      </w:pPr>
      <w:rPr>
        <w:rFonts w:ascii="Wingdings" w:hAnsi="Wingdings" w:hint="default"/>
      </w:rPr>
    </w:lvl>
    <w:lvl w:ilvl="1">
      <w:start w:val="1"/>
      <w:numFmt w:val="bullet"/>
      <w:pStyle w:val="BulletLevel2"/>
      <w:lvlText w:val="−"/>
      <w:lvlJc w:val="left"/>
      <w:pPr>
        <w:tabs>
          <w:tab w:val="num" w:pos="1701"/>
        </w:tabs>
        <w:ind w:left="1701" w:hanging="425"/>
      </w:pPr>
      <w:rPr>
        <w:rFonts w:ascii="Verdana" w:hAnsi="Verdana" w:hint="default"/>
        <w:b/>
        <w:i w:val="0"/>
      </w:rPr>
    </w:lvl>
    <w:lvl w:ilvl="2">
      <w:start w:val="1"/>
      <w:numFmt w:val="none"/>
      <w:lvlRestart w:val="0"/>
      <w:lvlText w:val=""/>
      <w:lvlJc w:val="left"/>
      <w:pPr>
        <w:tabs>
          <w:tab w:val="num" w:pos="851"/>
        </w:tabs>
        <w:ind w:left="851" w:firstLine="0"/>
      </w:pPr>
      <w:rPr>
        <w:rFonts w:hint="default"/>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tabs>
          <w:tab w:val="num" w:pos="851"/>
        </w:tabs>
        <w:ind w:left="851" w:firstLine="0"/>
      </w:pPr>
      <w:rPr>
        <w:rFonts w:hint="default"/>
      </w:rPr>
    </w:lvl>
  </w:abstractNum>
  <w:abstractNum w:abstractNumId="3" w15:restartNumberingAfterBreak="0">
    <w:nsid w:val="2C597AD5"/>
    <w:multiLevelType w:val="hybridMultilevel"/>
    <w:tmpl w:val="08FE645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4D8822D1"/>
    <w:multiLevelType w:val="hybridMultilevel"/>
    <w:tmpl w:val="4EBE67AA"/>
    <w:lvl w:ilvl="0" w:tplc="C9D8E150">
      <w:numFmt w:val="bullet"/>
      <w:lvlText w:val="-"/>
      <w:lvlJc w:val="left"/>
      <w:pPr>
        <w:ind w:left="643" w:hanging="360"/>
      </w:pPr>
      <w:rPr>
        <w:rFonts w:ascii="Calibri" w:eastAsiaTheme="minorHAnsi" w:hAnsi="Calibri" w:cstheme="minorBidi" w:hint="default"/>
      </w:rPr>
    </w:lvl>
    <w:lvl w:ilvl="1" w:tplc="14090003" w:tentative="1">
      <w:start w:val="1"/>
      <w:numFmt w:val="bullet"/>
      <w:lvlText w:val="o"/>
      <w:lvlJc w:val="left"/>
      <w:pPr>
        <w:ind w:left="1363" w:hanging="360"/>
      </w:pPr>
      <w:rPr>
        <w:rFonts w:ascii="Courier New" w:hAnsi="Courier New" w:cs="Courier New" w:hint="default"/>
      </w:rPr>
    </w:lvl>
    <w:lvl w:ilvl="2" w:tplc="14090005" w:tentative="1">
      <w:start w:val="1"/>
      <w:numFmt w:val="bullet"/>
      <w:lvlText w:val=""/>
      <w:lvlJc w:val="left"/>
      <w:pPr>
        <w:ind w:left="2083" w:hanging="360"/>
      </w:pPr>
      <w:rPr>
        <w:rFonts w:ascii="Wingdings" w:hAnsi="Wingdings" w:hint="default"/>
      </w:rPr>
    </w:lvl>
    <w:lvl w:ilvl="3" w:tplc="14090001" w:tentative="1">
      <w:start w:val="1"/>
      <w:numFmt w:val="bullet"/>
      <w:lvlText w:val=""/>
      <w:lvlJc w:val="left"/>
      <w:pPr>
        <w:ind w:left="2803" w:hanging="360"/>
      </w:pPr>
      <w:rPr>
        <w:rFonts w:ascii="Symbol" w:hAnsi="Symbol" w:hint="default"/>
      </w:rPr>
    </w:lvl>
    <w:lvl w:ilvl="4" w:tplc="14090003" w:tentative="1">
      <w:start w:val="1"/>
      <w:numFmt w:val="bullet"/>
      <w:lvlText w:val="o"/>
      <w:lvlJc w:val="left"/>
      <w:pPr>
        <w:ind w:left="3523" w:hanging="360"/>
      </w:pPr>
      <w:rPr>
        <w:rFonts w:ascii="Courier New" w:hAnsi="Courier New" w:cs="Courier New" w:hint="default"/>
      </w:rPr>
    </w:lvl>
    <w:lvl w:ilvl="5" w:tplc="14090005" w:tentative="1">
      <w:start w:val="1"/>
      <w:numFmt w:val="bullet"/>
      <w:lvlText w:val=""/>
      <w:lvlJc w:val="left"/>
      <w:pPr>
        <w:ind w:left="4243" w:hanging="360"/>
      </w:pPr>
      <w:rPr>
        <w:rFonts w:ascii="Wingdings" w:hAnsi="Wingdings" w:hint="default"/>
      </w:rPr>
    </w:lvl>
    <w:lvl w:ilvl="6" w:tplc="14090001" w:tentative="1">
      <w:start w:val="1"/>
      <w:numFmt w:val="bullet"/>
      <w:lvlText w:val=""/>
      <w:lvlJc w:val="left"/>
      <w:pPr>
        <w:ind w:left="4963" w:hanging="360"/>
      </w:pPr>
      <w:rPr>
        <w:rFonts w:ascii="Symbol" w:hAnsi="Symbol" w:hint="default"/>
      </w:rPr>
    </w:lvl>
    <w:lvl w:ilvl="7" w:tplc="14090003" w:tentative="1">
      <w:start w:val="1"/>
      <w:numFmt w:val="bullet"/>
      <w:lvlText w:val="o"/>
      <w:lvlJc w:val="left"/>
      <w:pPr>
        <w:ind w:left="5683" w:hanging="360"/>
      </w:pPr>
      <w:rPr>
        <w:rFonts w:ascii="Courier New" w:hAnsi="Courier New" w:cs="Courier New" w:hint="default"/>
      </w:rPr>
    </w:lvl>
    <w:lvl w:ilvl="8" w:tplc="14090005" w:tentative="1">
      <w:start w:val="1"/>
      <w:numFmt w:val="bullet"/>
      <w:lvlText w:val=""/>
      <w:lvlJc w:val="left"/>
      <w:pPr>
        <w:ind w:left="6403"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6E0"/>
    <w:rsid w:val="000D6150"/>
    <w:rsid w:val="0041471C"/>
    <w:rsid w:val="00433498"/>
    <w:rsid w:val="004C6A31"/>
    <w:rsid w:val="00665720"/>
    <w:rsid w:val="006D6046"/>
    <w:rsid w:val="007566E0"/>
    <w:rsid w:val="007C47B5"/>
    <w:rsid w:val="007F5309"/>
    <w:rsid w:val="0086178E"/>
    <w:rsid w:val="00865B5C"/>
    <w:rsid w:val="00875606"/>
    <w:rsid w:val="00A15690"/>
    <w:rsid w:val="00B3135D"/>
    <w:rsid w:val="00C21379"/>
    <w:rsid w:val="00C51062"/>
    <w:rsid w:val="00D12AE5"/>
    <w:rsid w:val="00D32CDD"/>
    <w:rsid w:val="00D64C1C"/>
    <w:rsid w:val="00DD1E35"/>
    <w:rsid w:val="00E41970"/>
    <w:rsid w:val="00E53BAA"/>
    <w:rsid w:val="00E53E95"/>
    <w:rsid w:val="00E648DD"/>
    <w:rsid w:val="00E94A7E"/>
    <w:rsid w:val="00F24DF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56362"/>
  <w15:chartTrackingRefBased/>
  <w15:docId w15:val="{68D2232B-FE18-4784-8E72-B692D4B46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4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66E0"/>
    <w:pPr>
      <w:ind w:left="720"/>
      <w:contextualSpacing/>
    </w:pPr>
  </w:style>
  <w:style w:type="paragraph" w:styleId="BodyText">
    <w:name w:val="Body Text"/>
    <w:basedOn w:val="Normal"/>
    <w:link w:val="BodyTextChar"/>
    <w:uiPriority w:val="99"/>
    <w:qFormat/>
    <w:rsid w:val="00E53E95"/>
    <w:pPr>
      <w:spacing w:after="180" w:line="288" w:lineRule="atLeast"/>
    </w:pPr>
    <w:rPr>
      <w:rFonts w:ascii="Calibri" w:eastAsia="Times New Roman" w:hAnsi="Calibri" w:cs="Times New Roman"/>
      <w:szCs w:val="24"/>
      <w:lang w:eastAsia="en-GB"/>
    </w:rPr>
  </w:style>
  <w:style w:type="character" w:customStyle="1" w:styleId="BodyTextChar">
    <w:name w:val="Body Text Char"/>
    <w:basedOn w:val="DefaultParagraphFont"/>
    <w:link w:val="BodyText"/>
    <w:uiPriority w:val="99"/>
    <w:rsid w:val="00E53E95"/>
    <w:rPr>
      <w:rFonts w:ascii="Calibri" w:eastAsia="Times New Roman" w:hAnsi="Calibri" w:cs="Times New Roman"/>
      <w:szCs w:val="24"/>
      <w:lang w:eastAsia="en-GB"/>
    </w:rPr>
  </w:style>
  <w:style w:type="paragraph" w:customStyle="1" w:styleId="BulletLevel1">
    <w:name w:val="Bullet Level 1"/>
    <w:basedOn w:val="BodyText"/>
    <w:qFormat/>
    <w:rsid w:val="00E53E95"/>
    <w:pPr>
      <w:numPr>
        <w:numId w:val="2"/>
      </w:numPr>
    </w:pPr>
  </w:style>
  <w:style w:type="paragraph" w:customStyle="1" w:styleId="BulletLevel2">
    <w:name w:val="Bullet Level 2"/>
    <w:basedOn w:val="BodyText"/>
    <w:qFormat/>
    <w:rsid w:val="00E53E95"/>
    <w:pPr>
      <w:numPr>
        <w:ilvl w:val="1"/>
        <w:numId w:val="2"/>
      </w:numPr>
    </w:pPr>
  </w:style>
  <w:style w:type="paragraph" w:styleId="Caption">
    <w:name w:val="caption"/>
    <w:basedOn w:val="Normal"/>
    <w:next w:val="BodyText"/>
    <w:semiHidden/>
    <w:rsid w:val="00E53E95"/>
    <w:pPr>
      <w:keepNext/>
      <w:tabs>
        <w:tab w:val="left" w:pos="1134"/>
      </w:tabs>
      <w:spacing w:before="240" w:after="60" w:line="240" w:lineRule="auto"/>
    </w:pPr>
    <w:rPr>
      <w:rFonts w:ascii="Calibri" w:eastAsia="Times New Roman" w:hAnsi="Calibri" w:cs="Times New Roman"/>
      <w:b/>
      <w:bCs/>
      <w:sz w:val="20"/>
      <w:szCs w:val="20"/>
      <w:lang w:eastAsia="en-GB"/>
    </w:rPr>
  </w:style>
  <w:style w:type="paragraph" w:styleId="FootnoteText">
    <w:name w:val="footnote text"/>
    <w:basedOn w:val="Normal"/>
    <w:link w:val="FootnoteTextChar"/>
    <w:uiPriority w:val="49"/>
    <w:semiHidden/>
    <w:rsid w:val="007C47B5"/>
    <w:pPr>
      <w:spacing w:after="0" w:line="240" w:lineRule="auto"/>
    </w:pPr>
    <w:rPr>
      <w:rFonts w:ascii="Calibri" w:eastAsia="Times New Roman" w:hAnsi="Calibri" w:cs="Times New Roman"/>
      <w:sz w:val="16"/>
      <w:szCs w:val="20"/>
      <w:lang w:eastAsia="en-GB"/>
    </w:rPr>
  </w:style>
  <w:style w:type="character" w:customStyle="1" w:styleId="FootnoteTextChar">
    <w:name w:val="Footnote Text Char"/>
    <w:basedOn w:val="DefaultParagraphFont"/>
    <w:link w:val="FootnoteText"/>
    <w:uiPriority w:val="49"/>
    <w:semiHidden/>
    <w:rsid w:val="007C47B5"/>
    <w:rPr>
      <w:rFonts w:ascii="Calibri" w:eastAsia="Times New Roman" w:hAnsi="Calibri" w:cs="Times New Roman"/>
      <w:sz w:val="16"/>
      <w:szCs w:val="20"/>
      <w:lang w:eastAsia="en-GB"/>
    </w:rPr>
  </w:style>
  <w:style w:type="character" w:styleId="FootnoteReference">
    <w:name w:val="footnote reference"/>
    <w:basedOn w:val="DefaultParagraphFont"/>
    <w:uiPriority w:val="49"/>
    <w:unhideWhenUsed/>
    <w:rsid w:val="007C47B5"/>
    <w:rPr>
      <w:vertAlign w:val="superscript"/>
    </w:rPr>
  </w:style>
  <w:style w:type="character" w:styleId="CommentReference">
    <w:name w:val="annotation reference"/>
    <w:basedOn w:val="DefaultParagraphFont"/>
    <w:uiPriority w:val="99"/>
    <w:semiHidden/>
    <w:unhideWhenUsed/>
    <w:rsid w:val="00C21379"/>
    <w:rPr>
      <w:sz w:val="16"/>
      <w:szCs w:val="16"/>
    </w:rPr>
  </w:style>
  <w:style w:type="paragraph" w:styleId="CommentText">
    <w:name w:val="annotation text"/>
    <w:basedOn w:val="Normal"/>
    <w:link w:val="CommentTextChar"/>
    <w:uiPriority w:val="99"/>
    <w:semiHidden/>
    <w:unhideWhenUsed/>
    <w:rsid w:val="00C21379"/>
    <w:pPr>
      <w:spacing w:line="240" w:lineRule="auto"/>
    </w:pPr>
    <w:rPr>
      <w:sz w:val="20"/>
      <w:szCs w:val="20"/>
    </w:rPr>
  </w:style>
  <w:style w:type="character" w:customStyle="1" w:styleId="CommentTextChar">
    <w:name w:val="Comment Text Char"/>
    <w:basedOn w:val="DefaultParagraphFont"/>
    <w:link w:val="CommentText"/>
    <w:uiPriority w:val="99"/>
    <w:semiHidden/>
    <w:rsid w:val="00C21379"/>
    <w:rPr>
      <w:sz w:val="20"/>
      <w:szCs w:val="20"/>
    </w:rPr>
  </w:style>
  <w:style w:type="paragraph" w:styleId="CommentSubject">
    <w:name w:val="annotation subject"/>
    <w:basedOn w:val="CommentText"/>
    <w:next w:val="CommentText"/>
    <w:link w:val="CommentSubjectChar"/>
    <w:uiPriority w:val="99"/>
    <w:semiHidden/>
    <w:unhideWhenUsed/>
    <w:rsid w:val="00C21379"/>
    <w:rPr>
      <w:b/>
      <w:bCs/>
    </w:rPr>
  </w:style>
  <w:style w:type="character" w:customStyle="1" w:styleId="CommentSubjectChar">
    <w:name w:val="Comment Subject Char"/>
    <w:basedOn w:val="CommentTextChar"/>
    <w:link w:val="CommentSubject"/>
    <w:uiPriority w:val="99"/>
    <w:semiHidden/>
    <w:rsid w:val="00C21379"/>
    <w:rPr>
      <w:b/>
      <w:bCs/>
      <w:sz w:val="20"/>
      <w:szCs w:val="20"/>
    </w:rPr>
  </w:style>
  <w:style w:type="paragraph" w:styleId="BalloonText">
    <w:name w:val="Balloon Text"/>
    <w:basedOn w:val="Normal"/>
    <w:link w:val="BalloonTextChar"/>
    <w:uiPriority w:val="99"/>
    <w:semiHidden/>
    <w:unhideWhenUsed/>
    <w:rsid w:val="00C213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379"/>
    <w:rPr>
      <w:rFonts w:ascii="Segoe UI" w:hAnsi="Segoe UI" w:cs="Segoe UI"/>
      <w:sz w:val="18"/>
      <w:szCs w:val="18"/>
    </w:rPr>
  </w:style>
  <w:style w:type="paragraph" w:styleId="PlainText">
    <w:name w:val="Plain Text"/>
    <w:basedOn w:val="Normal"/>
    <w:link w:val="PlainTextChar"/>
    <w:uiPriority w:val="99"/>
    <w:semiHidden/>
    <w:unhideWhenUsed/>
    <w:rsid w:val="00E53BA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E53BAA"/>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97074">
      <w:bodyDiv w:val="1"/>
      <w:marLeft w:val="0"/>
      <w:marRight w:val="0"/>
      <w:marTop w:val="0"/>
      <w:marBottom w:val="0"/>
      <w:divBdr>
        <w:top w:val="none" w:sz="0" w:space="0" w:color="auto"/>
        <w:left w:val="none" w:sz="0" w:space="0" w:color="auto"/>
        <w:bottom w:val="none" w:sz="0" w:space="0" w:color="auto"/>
        <w:right w:val="none" w:sz="0" w:space="0" w:color="auto"/>
      </w:divBdr>
    </w:div>
    <w:div w:id="119623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6</Pages>
  <Words>2017</Words>
  <Characters>9845</Characters>
  <Application>Microsoft Office Word</Application>
  <DocSecurity>0</DocSecurity>
  <Lines>281</Lines>
  <Paragraphs>108</Paragraphs>
  <ScaleCrop>false</ScaleCrop>
  <HeadingPairs>
    <vt:vector size="2" baseType="variant">
      <vt:variant>
        <vt:lpstr>Title</vt:lpstr>
      </vt:variant>
      <vt:variant>
        <vt:i4>1</vt:i4>
      </vt:variant>
    </vt:vector>
  </HeadingPairs>
  <TitlesOfParts>
    <vt:vector size="1" baseType="lpstr">
      <vt:lpstr/>
    </vt:vector>
  </TitlesOfParts>
  <Company>NIWA</Company>
  <LinksUpToDate>false</LinksUpToDate>
  <CharactersWithSpaces>11754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Pepperell</dc:creator>
  <cp:keywords/>
  <dc:description/>
  <cp:lastModifiedBy>Susan Pepperell</cp:lastModifiedBy>
  <cp:revision>5</cp:revision>
  <cp:lastPrinted>2015-11-18T20:04:00Z</cp:lastPrinted>
  <dcterms:created xsi:type="dcterms:W3CDTF">2015-11-17T00:52:00Z</dcterms:created>
  <dcterms:modified xsi:type="dcterms:W3CDTF">2015-11-18T20:05:00Z</dcterms:modified>
</cp:coreProperties>
</file>